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Pinecrest Auto Finance</w:t>
      </w:r>
    </w:p>
    <w:p>
      <w:pPr>
        <w:pStyle w:val="Heading1"/>
      </w:pPr>
      <w:r>
        <w:t>1 Purpose</w:t>
      </w:r>
    </w:p>
    <w:p>
      <w:r>
        <w:t>This specification governs order ORD-10009 for Pinecrest Auto Finance.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10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ListNumber"/>
      </w:pPr>
      <w:r>
        <w:t>9. MORT_BAL</w:t>
      </w:r>
    </w:p>
    <w:p>
      <w:pPr>
        <w:pStyle w:val="ListNumber"/>
      </w:pPr>
      <w:r>
        <w:t>10. BK_24M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