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37E"/>
          <w:sz w:val="40"/>
          <w:szCs w:val="40"/>
        </w:rPr>
        <w:t xml:space="preserve">GrowBet BI Analytics</w:t>
      </w:r>
    </w:p>
    <w:p>
      <w:pPr>
        <w:spacing w:after="60"/>
      </w:pPr>
      <w:r>
        <w:rPr>
          <w:i/>
          <w:iCs/>
          <w:color w:val="5C3FBF"/>
          <w:sz w:val="22"/>
          <w:szCs w:val="22"/>
        </w:rPr>
        <w:t xml:space="preserve">Documentação do Case Técnico — Dashboard de Performance Comercial</w:t>
      </w:r>
    </w:p>
    <w:p>
      <w:pPr>
        <w:pBdr>
          <w:bottom w:val="single" w:color="CCCCCC" w:sz="6" w:space="4"/>
        </w:pBdr>
        <w:spacing w:after="200"/>
      </w:pPr>
      <w:r>
        <w:rPr>
          <w:color w:val="555555"/>
          <w:sz w:val="17"/>
          <w:szCs w:val="17"/>
        </w:rPr>
        <w:t xml:space="preserve">Autor: Jhonathan Panisson  |  Período analisado: 01/07/2025 a 31/12/2025  |  Fonte: vendas.csv, campanhas.csv, clientes.csv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1. Principais Achados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Receita concentrada em poucos canais, com baixa dispersão. </w:t>
      </w:r>
      <w:r>
        <w:rPr>
          <w:color w:val="222222"/>
          <w:sz w:val="21"/>
          <w:szCs w:val="21"/>
        </w:rPr>
        <w:t xml:space="preserve">Os 5 canais de venda (Google Ads, Email, Direct, Partners, LinkedIn Ads) têm receita muito próxima entre si (R$ 237 Mil a R$ 275 Mil), sem um canal claramente dominante — a aquisição está bem diversificada.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Retenção geral de 78,52%, mas com curva de maturação visível mês a mês. </w:t>
      </w:r>
      <w:r>
        <w:rPr>
          <w:color w:val="222222"/>
          <w:sz w:val="21"/>
          <w:szCs w:val="21"/>
        </w:rPr>
        <w:t xml:space="preserve">223 dos 284 clientes únicos (78,52%) realizaram mais de uma compra no período. Ao decompor por mês, julho apresenta 100% de clientes novos (esperado, é o primeiro mês da base), com a proporção de clientes recorrentes crescendo de forma consistente até dezembro — sinal de uma base de clientes que fideliza ao longo do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Seasonal Promo é a campanha mais eficiente, não a de maior receita. </w:t>
      </w:r>
      <w:r>
        <w:rPr>
          <w:color w:val="222222"/>
          <w:sz w:val="21"/>
          <w:szCs w:val="21"/>
        </w:rPr>
        <w:t xml:space="preserve">Com apenas R$ 15,80 Mil de budget, a campanha 'Seasonal Promo' gerou R$ 85,20 Mil em receita — um ROAS de 539%, muito acima das demais. Em contraste, 'Q3 Acquisition Drive' tem a maior receita absoluta (R$ 427,33 Mil), mas um ROAS de apenas 193%, e 'Retention Boost 2025' tem o menor ROAS entre as ativas (141%).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Concentração de receita nos top produtos e clientes. </w:t>
      </w:r>
      <w:r>
        <w:rPr>
          <w:color w:val="222222"/>
          <w:sz w:val="21"/>
          <w:szCs w:val="21"/>
        </w:rPr>
        <w:t xml:space="preserve">Os 5 produtos mais vendidos (liderados por 'Relatórios Custom', R$ 282,96 Mil) e os 5 principais clientes (liderados por Ana Alves, R$ 42,50 Mil) representam uma fatia relevante da receita total, reforçando a importância de estratégias de retenção direcionadas a essas contas.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Origem de lead equilibrada entre os três canais de aquisição. </w:t>
      </w:r>
      <w:r>
        <w:rPr>
          <w:color w:val="222222"/>
          <w:sz w:val="21"/>
          <w:szCs w:val="21"/>
        </w:rPr>
        <w:t xml:space="preserve">Inbound (32,3%), Outbound (34,0%) e Partner (33,7%) têm participação quase idêntica nas vendas — não há dependência excessiva de um único modelo de aquisição.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2. Recomendações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Escalar o orçamento de 'Seasonal Promo'. </w:t>
      </w:r>
      <w:r>
        <w:rPr>
          <w:color w:val="222222"/>
          <w:sz w:val="21"/>
          <w:szCs w:val="21"/>
        </w:rPr>
        <w:t xml:space="preserve">Dado o ROAS de 539% com budget ainda modesto, há forte indício de que essa campanha está sub-investida. Um teste de aumento gradual de budget, monitorando se o ROAS se sustenta, é a ação de maior potencial de retorno identificada nesta análise.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Revisar ou reestruturar 'Retention Boost 2025'. </w:t>
      </w:r>
      <w:r>
        <w:rPr>
          <w:color w:val="222222"/>
          <w:sz w:val="21"/>
          <w:szCs w:val="21"/>
        </w:rPr>
        <w:t xml:space="preserve">Com o menor ROAS (141%) entre as campanhas ativas, vale investigar segmentação de público, criativos e canais utilizados antes de continuar alocando o mesmo nível de investimento.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Investir em ações de retenção nos primeiros 60 dias do cliente. </w:t>
      </w:r>
      <w:r>
        <w:rPr>
          <w:color w:val="222222"/>
          <w:sz w:val="21"/>
          <w:szCs w:val="21"/>
        </w:rPr>
        <w:t xml:space="preserve">Como a taxa de recorrência cresce claramente ao longo dos meses, uma ação comercial (onboarding, oferta de segunda compra, contato proativo) direcionada aos clientes recém-adquiridos pode acelerar essa curva de maturação e aumentar a retenção geral.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Criar um programa de relacionamento para os top clientes e produtos. </w:t>
      </w:r>
      <w:r>
        <w:rPr>
          <w:color w:val="222222"/>
          <w:sz w:val="21"/>
          <w:szCs w:val="21"/>
        </w:rPr>
        <w:t xml:space="preserve">Como a receita é parcialmente concentrada nos 5 principais clientes e produtos, um programa de relacionamento dedicado a essas contas reduz o risco de perda de receita por churn concentrado.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Instrumentar a captura de dados de leads (funil completo). </w:t>
      </w:r>
      <w:r>
        <w:rPr>
          <w:color w:val="222222"/>
          <w:sz w:val="21"/>
          <w:szCs w:val="21"/>
        </w:rPr>
        <w:t xml:space="preserve">A base atual só registra vendas convertidas. Para calcular taxa de conversão real (vendas/leads), é necessário implementar rastreamento de leads não convertidos por canal — essa é a lacuna de dado mais crítica identificada no case.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3. Como Usar o Dashboard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O dashboard é composto por 3 páginas, navegáveis pelo menu lateral (ícones à esquerda) ou pelas abas na parte inferior: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Home: </w:t>
      </w:r>
      <w:r>
        <w:rPr>
          <w:color w:val="222222"/>
          <w:sz w:val="21"/>
          <w:szCs w:val="21"/>
        </w:rPr>
        <w:t xml:space="preserve">página de capa, com acesso rápido às demais páginas através dos ícones.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Executivo: </w:t>
      </w:r>
      <w:r>
        <w:rPr>
          <w:color w:val="222222"/>
          <w:sz w:val="21"/>
          <w:szCs w:val="21"/>
        </w:rPr>
        <w:t xml:space="preserve">visão gerencial resumida — KPIs principais (Receita Total, Ticket Médio, Total de Vendas, Retenção Geral), performance por canal e origem de lead, e receita mensal. Ideal para leitura rápida.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237E"/>
          <w:sz w:val="21"/>
          <w:szCs w:val="21"/>
        </w:rPr>
        <w:t xml:space="preserve">Analítico: </w:t>
      </w:r>
      <w:r>
        <w:rPr>
          <w:color w:val="222222"/>
          <w:sz w:val="21"/>
          <w:szCs w:val="21"/>
        </w:rPr>
        <w:t xml:space="preserve">aprofundamento — receita por produto, Top 5 clientes, retenção mensal detalhada (novos vs. recorrentes), tabela consolidada de campanhas e ROAS por campanha.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Filtros disponíveis: Período (data inicial/final) e Região do cliente, localizados no canto superior esquerdo das páginas Executivo e Analítico — afetam todos os visuais da página simultaneamente.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4. Observações Técnicas</w:t>
      </w:r>
    </w:p>
    <w:p>
      <w:pPr>
        <w:pStyle w:val="Heading2"/>
        <w:spacing w:after="80" w:before="200"/>
      </w:pPr>
      <w:r>
        <w:rPr>
          <w:b/>
          <w:bCs/>
          <w:color w:val="1A237E"/>
          <w:sz w:val="24"/>
          <w:szCs w:val="24"/>
        </w:rPr>
        <w:t xml:space="preserve">Problemas encontrados nos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1"/>
          <w:szCs w:val="21"/>
        </w:rPr>
        <w:t xml:space="preserve">Ausência de dados de leads: a base contém apenas vendas já convertidas (tabela Fato_Vendas), sem nenhum registro de leads não convertidos. Isso impede o cálculo de taxa de conversão clássica (vendas/leads); a métrica exibida no dashboard representa distribuição/participação de receita por canal e origem de lead (coluna lead_source), não conversão de funil.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1"/>
          <w:szCs w:val="21"/>
        </w:rPr>
        <w:t xml:space="preserve">Base com apenas 6 meses de histórico (jul-dez/2025): impossibilita comparações ano a ano (ex: SAMEPERIODLASTYEAR). Todas as medidas de variação foram recalculadas para comparação mês a mês (DATEADD ... MONTH).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1"/>
          <w:szCs w:val="21"/>
        </w:rPr>
        <w:t xml:space="preserve">Retenção mensal com viés estrutural no primeiro mês: julho apresenta 100% de clientes novos por definição — não há histórico anterior na base para classificar qualquer cliente como recorrente. Isso não é um erro de cálculo, mas uma limitação inerente ao período disponível.</w:t>
      </w:r>
    </w:p>
    <w:p>
      <w:pPr>
        <w:pStyle w:val="Heading2"/>
        <w:spacing w:after="80" w:before="200"/>
      </w:pPr>
      <w:r>
        <w:rPr>
          <w:b/>
          <w:bCs/>
          <w:color w:val="1A237E"/>
          <w:sz w:val="24"/>
          <w:szCs w:val="24"/>
        </w:rPr>
        <w:t xml:space="preserve">Decisões de modelagem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1"/>
          <w:szCs w:val="21"/>
        </w:rPr>
        <w:t xml:space="preserve">Terminologia ROAS vs. ROI: o case solicita 'ROI por campanha (receita/budget)'. Tecnicamente, essa fórmula corresponde ao conceito de ROAS (Return on Ad Spend). O ROI clássico seria (Receita − Budget) / Budget, descontando o investimento do retorno. Optou-se por manter a nomenclatura tecnicamente correta (ROAS) no dashboard, com a fórmula solicitada, e documentar a diferença.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1"/>
          <w:szCs w:val="21"/>
        </w:rPr>
        <w:t xml:space="preserve">Retenção geral (card executivo): definida como % de clientes com mais de uma compra no período completo, métrica robusta que não depende de filtro de mês ativo — evita exibir 0% ou valores enganosos quando o card é visualizado isoladamente.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1"/>
          <w:szCs w:val="21"/>
        </w:rPr>
        <w:t xml:space="preserve">Retenção mensal (página Analítico): calculada via medida de 'Primeira Compra' por cliente (CALCULATE(MIN(...), ALL(Dim_Data))), comparando o mês da primeira compra com o mês em contexto de filtro, para classificar corretamente clientes novos vs. recorrentes por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1"/>
          <w:szCs w:val="21"/>
        </w:rPr>
        <w:t xml:space="preserve">Modelo de dados: esquema estrela com Fato_Vendas relacionada a Dim_Cliente, Dim_Campanha e Dim_Data (esta última marcada como tabela de datas, com calendário contínuo de 01/07/2025 a 31/12/2025, incluindo dias sem venda registrada).</w:t>
      </w:r>
    </w:p>
    <w:p>
      <w:pPr>
        <w:spacing w:before="200"/>
      </w:pPr>
    </w:p>
    <w:p>
      <w:pPr>
        <w:pStyle w:val="Heading2"/>
        <w:spacing w:after="80" w:before="200"/>
      </w:pPr>
      <w:r>
        <w:rPr>
          <w:b/>
          <w:bCs/>
          <w:color w:val="1A237E"/>
          <w:sz w:val="24"/>
          <w:szCs w:val="24"/>
        </w:rPr>
        <w:t xml:space="preserve">Resumo consolidado por campanha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1600"/>
        <w:gridCol w:w="1600"/>
      </w:tblGrid>
      <w:tr>
        <w:trPr>
          <w:tblHeader/>
        </w:trPr>
        <w:tc>
          <w:tcPr>
            <w:tcW w:type="dxa" w:w="2600"/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Campanha</w:t>
            </w:r>
          </w:p>
        </w:tc>
        <w:tc>
          <w:tcPr>
            <w:tcW w:type="dxa" w:w="2000"/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Receita</w:t>
            </w:r>
          </w:p>
        </w:tc>
        <w:tc>
          <w:tcPr>
            <w:tcW w:type="dxa" w:w="2000"/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  <w:tc>
          <w:tcPr>
            <w:tcW w:type="dxa" w:w="1600"/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ROAS</w:t>
            </w:r>
          </w:p>
        </w:tc>
        <w:tc>
          <w:tcPr>
            <w:tcW w:type="dxa" w:w="1600"/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 Médio</w:t>
            </w:r>
          </w:p>
        </w:tc>
      </w:tr>
      <w:tr>
        <w:tc>
          <w:tcPr>
            <w:tcW w:type="dxa" w:w="2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Seasonal Promo</w:t>
            </w:r>
          </w:p>
        </w:tc>
        <w:tc>
          <w:tcPr>
            <w:tcW w:type="dxa" w:w="20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R$ 85,20 Mil</w:t>
            </w:r>
          </w:p>
        </w:tc>
        <w:tc>
          <w:tcPr>
            <w:tcW w:type="dxa" w:w="20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R$ 15,80 Mil</w:t>
            </w:r>
          </w:p>
        </w:tc>
        <w:tc>
          <w:tcPr>
            <w:tcW w:type="dxa" w:w="1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539%</w:t>
            </w:r>
          </w:p>
        </w:tc>
        <w:tc>
          <w:tcPr>
            <w:tcW w:type="dxa" w:w="1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R$ 1.670,67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Partner Program Launch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R$ 187,29 Mil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R$ 89,46 Mil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209%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R$ 1.672,20</w:t>
            </w:r>
          </w:p>
        </w:tc>
      </w:tr>
      <w:tr>
        <w:tc>
          <w:tcPr>
            <w:tcW w:type="dxa" w:w="2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Acquisition Drive</w:t>
            </w:r>
          </w:p>
        </w:tc>
        <w:tc>
          <w:tcPr>
            <w:tcW w:type="dxa" w:w="20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R$ 427,33 Mil</w:t>
            </w:r>
          </w:p>
        </w:tc>
        <w:tc>
          <w:tcPr>
            <w:tcW w:type="dxa" w:w="20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R$ 220,85 Mil</w:t>
            </w:r>
          </w:p>
        </w:tc>
        <w:tc>
          <w:tcPr>
            <w:tcW w:type="dxa" w:w="1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193%</w:t>
            </w:r>
          </w:p>
        </w:tc>
        <w:tc>
          <w:tcPr>
            <w:tcW w:type="dxa" w:w="1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R$ 1.624,83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High-Value Upsell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R$ 371,00 Mil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R$ 223,78 Mil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166%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R$ 1.678,75</w:t>
            </w:r>
          </w:p>
        </w:tc>
      </w:tr>
      <w:tr>
        <w:tc>
          <w:tcPr>
            <w:tcW w:type="dxa" w:w="2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Retention Boost 2025</w:t>
            </w:r>
          </w:p>
        </w:tc>
        <w:tc>
          <w:tcPr>
            <w:tcW w:type="dxa" w:w="20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R$ 229,50 Mil</w:t>
            </w:r>
          </w:p>
        </w:tc>
        <w:tc>
          <w:tcPr>
            <w:tcW w:type="dxa" w:w="20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R$ 162,75 Mil</w:t>
            </w:r>
          </w:p>
        </w:tc>
        <w:tc>
          <w:tcPr>
            <w:tcW w:type="dxa" w:w="1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141%</w:t>
            </w:r>
          </w:p>
        </w:tc>
        <w:tc>
          <w:tcPr>
            <w:tcW w:type="dxa" w:w="1600"/>
            <w:shd w:fill="F2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R$ 1.500,03</w:t>
            </w:r>
          </w:p>
        </w:tc>
      </w:tr>
      <w:tr>
        <w:tc>
          <w:tcPr>
            <w:tcW w:type="dxa" w:w="2600"/>
            <w:shd w:fill="E0D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shd w:fill="E0D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R$ 1,30 Mi</w:t>
            </w:r>
          </w:p>
        </w:tc>
        <w:tc>
          <w:tcPr>
            <w:tcW w:type="dxa" w:w="2000"/>
            <w:shd w:fill="E0D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R$ 712,65 Mil</w:t>
            </w:r>
          </w:p>
        </w:tc>
        <w:tc>
          <w:tcPr>
            <w:tcW w:type="dxa" w:w="1600"/>
            <w:shd w:fill="E0D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182%</w:t>
            </w:r>
          </w:p>
        </w:tc>
        <w:tc>
          <w:tcPr>
            <w:tcW w:type="dxa" w:w="1600"/>
            <w:shd w:fill="E0D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R$ 1.625,41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2026-07-07T03:35:06.111Z</dcterms:created>
  <dcterms:modified xsi:type="dcterms:W3CDTF">2026-07-07T03:35:06.112Z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