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37E"/>
          <w:sz w:val="40"/>
          <w:szCs w:val="40"/>
        </w:rPr>
        <w:t xml:space="preserve">GrowBet BI Analytics</w:t>
      </w:r>
    </w:p>
    <w:p>
      <w:pPr>
        <w:spacing w:after="60"/>
      </w:pPr>
      <w:r>
        <w:rPr>
          <w:i/>
          <w:iCs/>
          <w:color w:val="5C3FBF"/>
          <w:sz w:val="22"/>
          <w:szCs w:val="22"/>
        </w:rPr>
        <w:t xml:space="preserve">Documentação do Pipeline de Dados — Databricks (Bronze / Silver / Gold)</w:t>
      </w:r>
    </w:p>
    <w:p>
      <w:pPr>
        <w:pBdr>
          <w:bottom w:val="single" w:color="CCCCCC" w:sz="6" w:space="4"/>
        </w:pBdr>
        <w:spacing w:after="200"/>
      </w:pPr>
      <w:r>
        <w:rPr>
          <w:color w:val="555555"/>
          <w:sz w:val="17"/>
          <w:szCs w:val="17"/>
        </w:rPr>
        <w:t xml:space="preserve">Autor: Jhonathan Panisson  |  Ferramenta: Databricks (PySpark + Spark SQL)  |  5 notebooks sequenciais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1. Visão Geral do Pipeline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 tratamento dos dados brutos (vendas.csv, clientes.csv, campanhas_serio.csv) até a base pronta para análise no Power BI foi feito em 5 notebooks sequenciais no Databricks, seguindo a arquitetura de camadas Bronze → Silver → Gold, com uma etapa intermediária dedicada exclusivamente à auditoria de qualidade dos dados.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100"/>
      </w:tblGrid>
      <w:tr>
        <w:trPr>
          <w:tblHeader/>
        </w:trPr>
        <w:tc>
          <w:tcPr>
            <w:tcW w:type="dxa" w:w="1500"/>
            <w:shd w:fill="1A237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600"/>
            <w:shd w:fill="1A237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Camada / Etapa</w:t>
            </w:r>
          </w:p>
        </w:tc>
        <w:tc>
          <w:tcPr>
            <w:tcW w:type="dxa" w:w="5100"/>
            <w:shd w:fill="1A237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5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01 - Ingestão</w:t>
            </w:r>
          </w:p>
        </w:tc>
        <w:tc>
          <w:tcPr>
            <w:tcW w:type="dxa" w:w="26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Bronze</w:t>
            </w:r>
          </w:p>
        </w:tc>
        <w:tc>
          <w:tcPr>
            <w:tcW w:type="dxa" w:w="51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Carregar os 3 arquivos CSV originais (vendas, clientes, campanhas) sem nenhuma transformação, preservando o dado bruto.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02 - Auditoria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Bronze (validação)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Checar qualidade do dado: nulos em campos críticos, duplicidade de chaves, integridade referencial entre as 3 tabelas e range de valores.</w:t>
            </w:r>
          </w:p>
        </w:tc>
      </w:tr>
      <w:tr>
        <w:tc>
          <w:tcPr>
            <w:tcW w:type="dxa" w:w="15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03 - Silver</w:t>
            </w:r>
          </w:p>
        </w:tc>
        <w:tc>
          <w:tcPr>
            <w:tcW w:type="dxa" w:w="26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Silver</w:t>
            </w:r>
          </w:p>
        </w:tc>
        <w:tc>
          <w:tcPr>
            <w:tcW w:type="dxa" w:w="51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Padronizar textos (remover espaços) e arredondar valores numéricos para 2 casas decimais.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04 - Gold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Gold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Criar as tabelas finais de análise: fato de vendas, dimensões de cliente e campanha, e uma dimensão de calendário completa.</w:t>
            </w:r>
          </w:p>
        </w:tc>
      </w:tr>
      <w:tr>
        <w:tc>
          <w:tcPr>
            <w:tcW w:type="dxa" w:w="15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05 - Exportação</w:t>
            </w:r>
          </w:p>
        </w:tc>
        <w:tc>
          <w:tcPr>
            <w:tcW w:type="dxa" w:w="26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Gold → CSV</w:t>
            </w:r>
          </w:p>
        </w:tc>
        <w:tc>
          <w:tcPr>
            <w:tcW w:type="dxa" w:w="5100"/>
            <w:shd w:fill="F2F2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Exportar as tabelas Gold para CSV, permitindo o uso no Power BI sem dependência de credenciais ou infraestrutura do Databricks.</w:t>
            </w:r>
          </w:p>
        </w:tc>
      </w:tr>
    </w:tbl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2. Notebook 01 — Ingestão (Bronze)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Leitura dos 3 arquivos CSV originais via Spark, com inferência automática de schema (inferSchema=True) e cabeçalho (header=True). Nenhum tratamento ou transformação é aplicado nesta etapa — o objetivo é preservar o dado exatamente como foi recebido, criando um ponto de partida rastreável para todo o pipeline.</w:t>
      </w:r>
    </w:p>
    <w:p>
      <w:pPr>
        <w:pBdr>
          <w:top w:val="single" w:color="DDDDDD" w:sz="4" w:space="4"/>
          <w:bottom w:val="single" w:color="DDDDDD" w:sz="4" w:space="4"/>
          <w:left w:val="single" w:color="DDDDDD" w:sz="4" w:space="4"/>
          <w:right w:val="single" w:color="DDDDDD" w:sz="4" w:space="4"/>
        </w:pBdr>
        <w:shd w:fill="F5F5F5" w:val="clear"/>
        <w:spacing w:after="120" w:before="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vendas = spark.read.csv("...vendas.csv", header=True, inferSchema=True)
vendas.write.mode("overwrite").saveAsTable("bronze_vendas")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Tabelas geradas: bronze_vendas, bronze_clientes, bronze_campanhas.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3. Notebook 02 — Auditoria de Qualidade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Antes de qualquer transformação, a base bruta foi auditada para garantir confiabilidade das análises subsequentes. As verificações realizadas e seus resultados: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Contagem de registros: </w:t>
      </w:r>
      <w:r>
        <w:rPr>
          <w:color w:val="222222"/>
          <w:sz w:val="20"/>
          <w:szCs w:val="20"/>
        </w:rPr>
        <w:t xml:space="preserve">validação do volume total carregado em cada tabela bronze (vendas, clientes, campanhas).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Valores nulos em campos críticos: </w:t>
      </w:r>
      <w:r>
        <w:rPr>
          <w:color w:val="222222"/>
          <w:sz w:val="20"/>
          <w:szCs w:val="20"/>
        </w:rPr>
        <w:t xml:space="preserve">verificação de cliente_id, campanha_id e valor em bronze_vendas — nenhum campo crítico apresentou valores ausentes.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Duplicidade de chaves: </w:t>
      </w:r>
      <w:r>
        <w:rPr>
          <w:color w:val="222222"/>
          <w:sz w:val="20"/>
          <w:szCs w:val="20"/>
        </w:rPr>
        <w:t xml:space="preserve">checagem de id_venda, cliente_id e campanha_id agrupando e filtrando contagem &gt; 1 — nenhuma duplicidade encontrada em nenhuma das 3 tabelas.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Integridade referencial: </w:t>
      </w:r>
      <w:r>
        <w:rPr>
          <w:color w:val="222222"/>
          <w:sz w:val="20"/>
          <w:szCs w:val="20"/>
        </w:rPr>
        <w:t xml:space="preserve">LEFT JOIN de vendas com clientes e de vendas com campanhas, filtrando registros órfãos (chave estrangeira sem correspondência) — nenhuma inconsistência encontrada, ou seja, toda venda referencia um cliente e uma campanha válidos.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Range de valores: </w:t>
      </w:r>
      <w:r>
        <w:rPr>
          <w:color w:val="222222"/>
          <w:sz w:val="20"/>
          <w:szCs w:val="20"/>
        </w:rPr>
        <w:t xml:space="preserve">MIN, MAX e AVG da coluna valor em bronze_vendas, para identificar possíveis outliers ou valores negativos/inconsistentes.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Conclusão da auditoria: a base bruta apresentou boa qualidade estrutural (sem nulos críticos, duplicidade ou órfãos referenciais), permitindo avançar para a padronização (Silver) sem necessidade de correções de integridade.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4. Notebook 03 — Silver (Padronização)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Camada responsável por padronizar os dados, sem alterar sua granularidade ou significado de negócio. Duas transformações foram aplicadas: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TRIM em colunas de texto: </w:t>
      </w:r>
      <w:r>
        <w:rPr>
          <w:color w:val="222222"/>
          <w:sz w:val="20"/>
          <w:szCs w:val="20"/>
        </w:rPr>
        <w:t xml:space="preserve">remoção de espaços em branco nas extremidades de produto, canal e lead_source (vendas), nome, regiao e status (clientes), e nome e canal (campanhas) — previne falhas de agrupamento no Power BI causadas por espaços invisíveis.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ROUND em colunas numéricas: </w:t>
      </w:r>
      <w:r>
        <w:rPr>
          <w:color w:val="222222"/>
          <w:sz w:val="20"/>
          <w:szCs w:val="20"/>
        </w:rPr>
        <w:t xml:space="preserve">arredondamento de valor (vendas) e budget (campanhas) para 2 casas decimais, padronizando a precisão monetária em toda a base.</w:t>
      </w:r>
    </w:p>
    <w:p>
      <w:pPr>
        <w:pBdr>
          <w:top w:val="single" w:color="DDDDDD" w:sz="4" w:space="4"/>
          <w:bottom w:val="single" w:color="DDDDDD" w:sz="4" w:space="4"/>
          <w:left w:val="single" w:color="DDDDDD" w:sz="4" w:space="4"/>
          <w:right w:val="single" w:color="DDDDDD" w:sz="4" w:space="4"/>
        </w:pBdr>
        <w:shd w:fill="F5F5F5" w:val="clear"/>
        <w:spacing w:after="120" w:before="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OR REPLACE TABLE silver_vendas AS
SELECT id_venda, data, cliente_id, campanha_id,
       TRIM(produto) AS produto, TRIM(canal) AS canal,
       TRIM(lead_source) AS lead_source, ROUND(valor,2) AS valor
FROM bronze_vendas;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Tabelas geradas: silver_vendas, silver_clientes, silver_campanhas.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5. Notebook 04 — Gold (Modelo Analítico)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Camada final, estruturada para consumo direto no Power BI, seguindo um esquema estrela. Além das tabelas de fato e dimensão herdadas da Silver, foi criada uma dimensão de calendário completa e independente das demais fontes: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gold_fato_vendas: </w:t>
      </w:r>
      <w:r>
        <w:rPr>
          <w:color w:val="222222"/>
          <w:sz w:val="20"/>
          <w:szCs w:val="20"/>
        </w:rPr>
        <w:t xml:space="preserve">tabela fato com todas as vendas, herdada diretamente de silver_vendas.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gold_dim_clientes e gold_dim_campanhas: </w:t>
      </w:r>
      <w:r>
        <w:rPr>
          <w:color w:val="222222"/>
          <w:sz w:val="20"/>
          <w:szCs w:val="20"/>
        </w:rPr>
        <w:t xml:space="preserve">dimensões descritivas de cliente e campanha, herdadas das respectivas tabelas Silver.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gold_dim_data: </w:t>
      </w:r>
      <w:r>
        <w:rPr>
          <w:color w:val="222222"/>
          <w:sz w:val="20"/>
          <w:szCs w:val="20"/>
        </w:rPr>
        <w:t xml:space="preserve">dimensão de calendário gerada via SEQUENCE, cobrindo todos os dias de 01/07/2025 a 31/12/2025 (incluindo dias sem venda registrada), com atributos derivados: ano, semestre, trimestre, mês (nome e número), mês/ano, dia da semana, indicador de fim de semana, início e fim do mês. Essa tabela foi posteriormente marcada como "tabela de datas" no Power BI, permitindo o uso de funções de inteligência de tempo (DATEADD, STARTOFMONTH, ENDOFMONTH).</w:t>
      </w:r>
    </w:p>
    <w:p>
      <w:pPr>
        <w:pBdr>
          <w:top w:val="single" w:color="DDDDDD" w:sz="4" w:space="4"/>
          <w:bottom w:val="single" w:color="DDDDDD" w:sz="4" w:space="4"/>
          <w:left w:val="single" w:color="DDDDDD" w:sz="4" w:space="4"/>
          <w:right w:val="single" w:color="DDDDDD" w:sz="4" w:space="4"/>
        </w:pBdr>
        <w:shd w:fill="F5F5F5" w:val="clear"/>
        <w:spacing w:after="120" w:before="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OR REPLACE TABLE gold_dim_data AS
WITH calendario AS (
  SELECT explode(sequence(
    TO_DATE('2025-07-01'), TO_DATE('2025-12-31'), INTERVAL 1 DAY
  )) AS data
)
SELECT data, YEAR(data) AS ano, ... FROM calendario ORDER BY data;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6. Notebook 05 — Exportação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As 4 tabelas Gold foram exportadas para arquivos CSV (encoding utf-8-sig, compatível com acentuação em português), permitindo o consumo direto no Power BI Desktop sem necessidade de conexão ativa ou credenciais do Databricks.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Motivo da escolha (CSV vs. conexão direta): </w:t>
      </w:r>
      <w:r>
        <w:rPr>
          <w:color w:val="222222"/>
          <w:sz w:val="20"/>
          <w:szCs w:val="20"/>
        </w:rPr>
        <w:t xml:space="preserve">essa abordagem torna a solução totalmente reproduzível e facilita a avaliação técnica do case, eliminando dependência de infraestrutura externa ou acesso a credenciais do ambiente Databricks.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37E"/>
          <w:sz w:val="20"/>
          <w:szCs w:val="20"/>
        </w:rPr>
        <w:t xml:space="preserve">Ajuste adicional em gold_fato_vendas: </w:t>
      </w:r>
      <w:r>
        <w:rPr>
          <w:color w:val="222222"/>
          <w:sz w:val="20"/>
          <w:szCs w:val="20"/>
        </w:rPr>
        <w:t xml:space="preserve">conversão explícita da coluna valor para float com 2 casas decimais (float_format="%.2f") antes da exportação, garantindo consistência de formatação numérica no CSV final.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Arquivos exportados: gold_fato_vendas.csv, gold_dim_clientes.csv, gold_dim_campanhas.csv, gold_dim_data.csv — estes são os arquivos consumidos diretamente pelo modelo do Power BI.</w:t>
      </w:r>
    </w:p>
    <w:p>
      <w:pPr>
        <w:pStyle w:val="Heading1"/>
        <w:pBdr>
          <w:bottom w:val="single" w:color="5C3FBF" w:sz="12" w:space="4"/>
        </w:pBdr>
        <w:spacing w:after="120" w:before="240"/>
      </w:pPr>
      <w:r>
        <w:rPr>
          <w:b/>
          <w:bCs/>
          <w:color w:val="1A237E"/>
          <w:sz w:val="30"/>
          <w:szCs w:val="30"/>
        </w:rPr>
        <w:t xml:space="preserve">7. Rastreabilidade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Os 5 notebooks originais (.py, formato Databricks source) estão disponíveis na pasta 04_Queries_SQL, permitindo auditoria completa de qualquer etapa do pipeline, da ingestão bruta até a exportação final.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2026-07-07T04:08:21.834Z</dcterms:created>
  <dcterms:modified xsi:type="dcterms:W3CDTF">2026-07-07T04:08:21.858Z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