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WORK 13</w:t>
      </w:r>
    </w:p>
    <w:p w:rsidR="00000000" w:rsidDel="00000000" w:rsidP="00000000" w:rsidRDefault="00000000" w:rsidRPr="00000000" w14:paraId="00000002">
      <w:pPr>
        <w:ind w:left="0" w:firstLine="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4"/>
          <w:szCs w:val="24"/>
          <w:rtl w:val="0"/>
        </w:rPr>
        <w:t xml:space="preserve">ReConstructed ReFuse IV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– Sheldon Museum exhibit</w:t>
      </w:r>
    </w:p>
    <w:p w:rsidR="00000000" w:rsidDel="00000000" w:rsidP="00000000" w:rsidRDefault="00000000" w:rsidRPr="00000000" w14:paraId="00000003">
      <w:pPr>
        <w:ind w:left="0" w:firstLine="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</w:rPr>
        <w:drawing>
          <wp:inline distB="114300" distT="114300" distL="114300" distR="114300">
            <wp:extent cx="6410325" cy="4810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