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WORK 16</w:t>
      </w:r>
    </w:p>
    <w:p w:rsidR="00000000" w:rsidDel="00000000" w:rsidP="00000000" w:rsidRDefault="00000000" w:rsidRPr="00000000" w14:paraId="00000002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TOOLS</w:t>
      </w:r>
    </w:p>
    <w:p w:rsidR="00000000" w:rsidDel="00000000" w:rsidP="00000000" w:rsidRDefault="00000000" w:rsidRPr="00000000" w14:paraId="00000003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</w:rPr>
        <w:drawing>
          <wp:inline distB="114300" distT="114300" distL="114300" distR="114300">
            <wp:extent cx="2647950" cy="46005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</w:rPr>
        <w:drawing>
          <wp:inline distB="114300" distT="114300" distL="114300" distR="114300">
            <wp:extent cx="3629025" cy="46005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</w:rPr>
        <w:drawing>
          <wp:inline distB="114300" distT="114300" distL="114300" distR="114300">
            <wp:extent cx="6858000" cy="457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</w:rPr>
        <w:drawing>
          <wp:inline distB="114300" distT="114300" distL="114300" distR="114300">
            <wp:extent cx="6105525" cy="460057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60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