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2E75B6"/>
          <w:sz w:val="24"/>
          <w:szCs w:val="24"/>
        </w:rPr>
        <w:t xml:space="preserve">SOLUTION &amp; REQUIREMENTS SPECIFICATION</w:t>
      </w:r>
    </w:p>
    <w:p>
      <w:pPr>
        <w:spacing w:after="0" w:before="120"/>
      </w:pPr>
      <w:r>
        <w:rPr>
          <w:b/>
          <w:bCs/>
          <w:color w:val="1F3864"/>
          <w:sz w:val="52"/>
          <w:szCs w:val="52"/>
        </w:rPr>
        <w:t xml:space="preserve">Supplier &amp; Parts Onboarding Platform</w:t>
      </w:r>
    </w:p>
    <w:p>
      <w:pPr>
        <w:spacing w:after="0" w:before="80"/>
      </w:pPr>
      <w:r>
        <w:rPr>
          <w:color w:val="595959"/>
          <w:sz w:val="30"/>
          <w:szCs w:val="30"/>
        </w:rPr>
        <w:t xml:space="preserve">Manufacturing Line Supplier Qualification &amp; Part Introduction</w:t>
      </w:r>
    </w:p>
    <w:p>
      <w:pPr>
        <w:pBdr>
          <w:bottom w:val="single" w:color="2E75B6" w:sz="10" w:space="8"/>
        </w:pBdr>
        <w:spacing w:after="0" w:before="40"/>
      </w:pPr>
    </w:p>
    <w:p>
      <w:pPr>
        <w:spacing w:before="500"/>
      </w:pPr>
      <w:r>
        <w:rPr>
          <w:b/>
          <w:bCs/>
          <w:sz w:val="24"/>
          <w:szCs w:val="24"/>
        </w:rPr>
        <w:t xml:space="preserve">Prepared for: </w:t>
      </w:r>
      <w:r>
        <w:rPr>
          <w:sz w:val="24"/>
          <w:szCs w:val="24"/>
        </w:rPr>
        <w:t xml:space="preserve">Rivian — Solution Engineering</w:t>
      </w:r>
    </w:p>
    <w:p>
      <w:r>
        <w:rPr>
          <w:b/>
          <w:bCs/>
          <w:sz w:val="24"/>
          <w:szCs w:val="24"/>
        </w:rPr>
        <w:t xml:space="preserve">Prepared by: </w:t>
      </w:r>
      <w:r>
        <w:rPr>
          <w:sz w:val="24"/>
          <w:szCs w:val="24"/>
        </w:rPr>
        <w:t xml:space="preserve">OutSystems</w:t>
      </w:r>
    </w:p>
    <w:p>
      <w:r>
        <w:rPr>
          <w:b/>
          <w:bCs/>
          <w:sz w:val="24"/>
          <w:szCs w:val="24"/>
        </w:rPr>
        <w:t xml:space="preserve">Initiative: </w:t>
      </w:r>
      <w:r>
        <w:rPr>
          <w:sz w:val="24"/>
          <w:szCs w:val="24"/>
        </w:rPr>
        <w:t xml:space="preserve">Enterprise App Modernization — 1 of 3 flagship applications</w:t>
      </w:r>
    </w:p>
    <w:p>
      <w:r>
        <w:rPr>
          <w:b/>
          <w:bCs/>
          <w:sz w:val="24"/>
          <w:szCs w:val="24"/>
        </w:rPr>
        <w:t xml:space="preserve">Status: </w:t>
      </w:r>
      <w:r>
        <w:rPr>
          <w:sz w:val="24"/>
          <w:szCs w:val="24"/>
        </w:rPr>
        <w:t xml:space="preserve">Draft v0.1 for technical review</w:t>
      </w:r>
    </w:p>
    <w:p>
      <w:r>
        <w:rPr>
          <w:b/>
          <w:bCs/>
          <w:sz w:val="24"/>
          <w:szCs w:val="24"/>
        </w:rPr>
        <w:t xml:space="preserve">Date: </w:t>
      </w:r>
      <w:r>
        <w:rPr>
          <w:sz w:val="24"/>
          <w:szCs w:val="24"/>
        </w:rPr>
        <w:t xml:space="preserve">July 7, 2026</w:t>
      </w:r>
    </w:p>
    <w:p>
      <w:pPr>
        <w:spacing w:before="2400"/>
      </w:pPr>
      <w:r>
        <w:rPr>
          <w:i/>
          <w:iCs/>
          <w:color w:val="808080"/>
          <w:sz w:val="18"/>
          <w:szCs w:val="18"/>
        </w:rPr>
        <w:t xml:space="preserve">Confidential — for internal evaluation and scoping. Contents are indicative and subject to discovery.</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Rivian is modernizing a set of enterprise applications that currently run on Appian and on Microsoft Power Platform. This document specifies the first of three flagship applications in that initiative: a Supplier &amp; Parts Onboarding Platform that governs how new suppliers and their parts are qualified, approved, and released to Rivian's manufacturing lines.</w:t>
      </w:r>
    </w:p>
    <w:p>
      <w:pPr>
        <w:spacing w:after="120" w:line="276"/>
      </w:pPr>
      <w:r>
        <w:t xml:space="preserve">The current onboarding process is complex, cross-functional, and slow. It spans procurement, quality, engineering, compliance, and manufacturing readiness, and it depends on integrations to PLM and ERP as well as a mix of manual, email- and spreadsheet-driven steps. Rivian's objectives are to (1) retire the incumbent Appian workflow, (2) materially reduce Microsoft/Power Platform dependency, and (3) deliver a governed, auditable, and faster onboarding experience that fits Rivian's evolving AI development lifecycle (AIDLC) and reference architecture.</w:t>
      </w:r>
    </w:p>
    <w:p>
      <w:pPr>
        <w:spacing w:after="120" w:line="276"/>
      </w:pPr>
      <w:r>
        <w:t xml:space="preserve">The proposed solution rebuilds the process on OutSystems Developer Cloud (ODC) as a governed application with native workflow orchestration, embedded compliance and security controls, and first-class integrations to Rivian's PLM and ERP systems. The platform is designed so that governance, deployment, and observability are built in rather than assembled by hand — reducing the security-review and release friction Rivian has flagged, and positioning the app as a reference pattern for the other two applications in the initiative.</w:t>
      </w:r>
    </w:p>
    <w:p>
      <w:pPr>
        <w:spacing w:after="120" w:line="276"/>
      </w:pPr>
      <w:r>
        <w:rPr>
          <w:i/>
          <w:iCs/>
        </w:rPr>
        <w:t xml:space="preserve">This is a hybrid document: Sections 2–5 frame the business problem, scope, and target solution; Sections 6–10 specify functional and non-functional requirements, integrations, and data; and Sections 11–15 cover migration, governance/AIDLC fit, phasing, and open questions.</w:t>
      </w:r>
    </w:p>
    <w:p>
      <w:pPr>
        <w:pStyle w:val="Heading1"/>
      </w:pPr>
      <w:r>
        <w:t xml:space="preserve">2. Business Context &amp; Drivers</w:t>
      </w:r>
    </w:p>
    <w:p>
      <w:pPr>
        <w:pStyle w:val="Heading2"/>
      </w:pPr>
      <w:r>
        <w:t xml:space="preserve">2.1 Strategic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Driver</w:t>
            </w:r>
          </w:p>
        </w:tc>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What it means</w:t>
            </w:r>
          </w:p>
        </w:tc>
        <w:tc>
          <w:tcPr>
            <w:tcW w:type="dxa" w:w="3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Success looks like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Replace Appian</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Retire the incumbent Appian onboarding workflow and consolidate onto Rivian's strategic app platform.</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Appian license and process retired; no net-new build on Appian.</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Reduce Microsoft usage</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Move off Power Platform / SharePoint-based intake and data capture used in the legacy process.</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Power Platform apps for this process decommissioned; reduced M365 surface area.</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Accelerate onboarding</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Shorten qualification and part-release cycle time across procurement, quality, and engineering.</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Measurable reduction in cycle time and manual touchpoints (target set in Section 13).</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Governed by design</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Security, compliance, and audit built into the platform, not bolted on per app.</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Faster security reviews; complete, exportable audit trail; SOX-ready approvals.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AIDLC fit</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Solution must slot into Rivian's reference architecture and AI development lifecycle.</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Devin (Tech Lead, AIDLC) validates fit against reference architecture.</w:t>
            </w:r>
          </w:p>
        </w:tc>
      </w:tr>
    </w:tbl>
    <w:p>
      <w:pPr>
        <w:pStyle w:val="Heading2"/>
      </w:pPr>
      <w:r>
        <w:t xml:space="preserve">2.2 Program context</w:t>
      </w:r>
    </w:p>
    <w:p>
      <w:pPr>
        <w:spacing w:after="120" w:line="276"/>
      </w:pPr>
      <w:r>
        <w:t xml:space="preserve">This application is 1 of 3 flagship (“Big Ones”) applications in the broader modernization initiative. It is intended to establish the governed application pattern — architecture, integration approach, security posture, and delivery method — that the remaining two applications will reuse. Decisions made here (identity, ERP/PLM integration, deployment guardrails, audit model) should be treated as initiative-level, not app-level.</w:t>
      </w:r>
    </w:p>
    <w:p>
      <w:pPr>
        <w:pStyle w:val="Heading1"/>
      </w:pPr>
      <w:r>
        <w:t xml:space="preserve">3. Current State &amp; Problem Statement</w:t>
      </w:r>
    </w:p>
    <w:p>
      <w:pPr>
        <w:pStyle w:val="Heading2"/>
      </w:pPr>
      <w:r>
        <w:t xml:space="preserve">3.1 How onboarding works today</w:t>
      </w:r>
    </w:p>
    <w:p>
      <w:pPr>
        <w:spacing w:after="120" w:line="276"/>
      </w:pPr>
      <w:r>
        <w:t xml:space="preserve">Supplier and parts onboarding is a multi-stage, multi-team process that currently spans an Appian workflow, Microsoft Power Platform / SharePoint data capture, PLM (part and change data), ERP (vendor master), and a significant amount of manual coordination over email and spreadsheets. Requirements for the process are only partially documented and have in places been reverse-engineered from the legacy tooling.</w:t>
      </w:r>
    </w:p>
    <w:p>
      <w:pPr>
        <w:pStyle w:val="Heading2"/>
      </w:pPr>
      <w:r>
        <w:t xml:space="preserve">3.2 Key pain points</w:t>
      </w:r>
    </w:p>
    <w:p>
      <w:pPr>
        <w:pStyle w:val="ListParagraph"/>
        <w:numPr>
          <w:ilvl w:val="0"/>
          <w:numId w:val="2"/>
        </w:numPr>
        <w:spacing w:after="60"/>
      </w:pPr>
      <w:r>
        <w:t xml:space="preserve">Fragmented tooling: intake, qualification, and approvals are split across Appian, Power Platform, and manual channels, with no single source of truth for supplier/part status.</w:t>
      </w:r>
    </w:p>
    <w:p>
      <w:pPr>
        <w:pStyle w:val="ListParagraph"/>
        <w:numPr>
          <w:ilvl w:val="0"/>
          <w:numId w:val="2"/>
        </w:numPr>
        <w:spacing w:after="60"/>
      </w:pPr>
      <w:r>
        <w:t xml:space="preserve">Slow cycle time: sequential hand-offs between procurement, quality, engineering, and compliance extend onboarding and delay part availability to the lines.</w:t>
      </w:r>
    </w:p>
    <w:p>
      <w:pPr>
        <w:pStyle w:val="ListParagraph"/>
        <w:numPr>
          <w:ilvl w:val="0"/>
          <w:numId w:val="2"/>
        </w:numPr>
        <w:spacing w:after="60"/>
      </w:pPr>
      <w:r>
        <w:t xml:space="preserve">Governance friction: security and compliance reviews are lengthy (reviews have run well beyond target, in some cases 20+ days), and audit evidence must be reconstructed manually.</w:t>
      </w:r>
    </w:p>
    <w:p>
      <w:pPr>
        <w:pStyle w:val="ListParagraph"/>
        <w:numPr>
          <w:ilvl w:val="0"/>
          <w:numId w:val="2"/>
        </w:numPr>
        <w:spacing w:after="60"/>
      </w:pPr>
      <w:r>
        <w:t xml:space="preserve">Skill and continuity risk: platform knowledge is concentrated in contractors rather than full-time employees, creating key-person and knowledge-transfer risk.</w:t>
      </w:r>
    </w:p>
    <w:p>
      <w:pPr>
        <w:pStyle w:val="ListParagraph"/>
        <w:numPr>
          <w:ilvl w:val="0"/>
          <w:numId w:val="2"/>
        </w:numPr>
        <w:spacing w:after="60"/>
      </w:pPr>
      <w:r>
        <w:t xml:space="preserve">Integration gaps: PLM and ERP synchronization is incomplete, and business stakeholders report missing integrations and unhandled exception paths.</w:t>
      </w:r>
    </w:p>
    <w:p>
      <w:pPr>
        <w:pStyle w:val="ListParagraph"/>
        <w:numPr>
          <w:ilvl w:val="0"/>
          <w:numId w:val="2"/>
        </w:numPr>
        <w:spacing w:after="60"/>
      </w:pPr>
      <w:r>
        <w:t xml:space="preserve">Feedback loops are manual: stakeholder feedback (e.g., from quality or legal) is captured off-platform and re-entered by hand, rather than routed automatically back into the workflow.</w:t>
      </w:r>
    </w:p>
    <w:p>
      <w:pPr>
        <w:pStyle w:val="Heading1"/>
      </w:pPr>
      <w:r>
        <w:t xml:space="preserve">4. Solution Overview</w:t>
      </w:r>
    </w:p>
    <w:p>
      <w:pPr>
        <w:pStyle w:val="Heading2"/>
      </w:pPr>
      <w:r>
        <w:t xml:space="preserve">4.1 Target solution</w:t>
      </w:r>
    </w:p>
    <w:p>
      <w:pPr>
        <w:spacing w:after="120" w:line="276"/>
      </w:pPr>
      <w:r>
        <w:t xml:space="preserve">A single, governed Supplier &amp; Parts Onboarding application built on OutSystems Developer Cloud (ODC). The application provides a supplier-facing intake experience, an internal case-management and workflow engine for qualification and approvals, and governed, auditable integrations to Rivian's PLM and ERP systems and identity provider. Governance, deployment, observability, and security controls are provided natively by the platform.</w:t>
      </w:r>
    </w:p>
    <w:p>
      <w:pPr>
        <w:pStyle w:val="Heading2"/>
      </w:pPr>
      <w:r>
        <w:t xml:space="preserve">4.2 Target architecture (logical)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Layer</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Responsibility</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Experience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Supplier self-service portal (intake, document upload, status) and internal reviewer workspace (case queues, evaluations, approvals, dashboards). Responsive web; SSO.</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Process / workflow</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Orchestration of the onboarding lifecycle: intake → screening → tiered qualification → parallel functional reviews → approval → activation → requalification. Parallel and conditional paths, SLAs, escalations.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Business logic &amp; data</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Supplier, contact, part, qualification, document, and audit entities; validation, scoring, and status rules. System of record for onboarding state.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Integration</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Governed connectors/APIs to PLM (part &amp; change data), ERP (vendor master), identity (SSO/MFA), document storage, and denied-party/sanctions screening.</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Governance &amp; platform</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Built-in security scanning, pre-deploy AI code review, environment/deployment guardrails, runtime monitoring, and audit — provided by ODC.</w:t>
            </w:r>
          </w:p>
        </w:tc>
      </w:tr>
    </w:tbl>
    <w:p>
      <w:pPr>
        <w:pStyle w:val="Heading1"/>
      </w:pPr>
      <w:r>
        <w:t xml:space="preserve">5. Scope</w:t>
      </w:r>
    </w:p>
    <w:p>
      <w:pPr>
        <w:pStyle w:val="Heading2"/>
      </w:pPr>
      <w:r>
        <w:t xml:space="preserve">5.1 In scope</w:t>
      </w:r>
    </w:p>
    <w:p>
      <w:pPr>
        <w:pStyle w:val="ListParagraph"/>
        <w:numPr>
          <w:ilvl w:val="0"/>
          <w:numId w:val="2"/>
        </w:numPr>
        <w:spacing w:after="60"/>
      </w:pPr>
      <w:r>
        <w:t xml:space="preserve">Supplier intake and self-service portal for new supplier and part submissions.</w:t>
      </w:r>
    </w:p>
    <w:p>
      <w:pPr>
        <w:pStyle w:val="ListParagraph"/>
        <w:numPr>
          <w:ilvl w:val="0"/>
          <w:numId w:val="2"/>
        </w:numPr>
        <w:spacing w:after="60"/>
      </w:pPr>
      <w:r>
        <w:t xml:space="preserve">Tiered supplier qualification workflow (critical vs. standard) with parallel functional reviews.</w:t>
      </w:r>
    </w:p>
    <w:p>
      <w:pPr>
        <w:pStyle w:val="ListParagraph"/>
        <w:numPr>
          <w:ilvl w:val="0"/>
          <w:numId w:val="2"/>
        </w:numPr>
        <w:spacing w:after="60"/>
      </w:pPr>
      <w:r>
        <w:t xml:space="preserve">Automated compliance screening (denied-party/sanctions) with review-on-match handling.</w:t>
      </w:r>
    </w:p>
    <w:p>
      <w:pPr>
        <w:pStyle w:val="ListParagraph"/>
        <w:numPr>
          <w:ilvl w:val="0"/>
          <w:numId w:val="2"/>
        </w:numPr>
        <w:spacing w:after="60"/>
      </w:pPr>
      <w:r>
        <w:t xml:space="preserve">Part introduction / release-to-line readiness tied to PLM part and change data.</w:t>
      </w:r>
    </w:p>
    <w:p>
      <w:pPr>
        <w:pStyle w:val="ListParagraph"/>
        <w:numPr>
          <w:ilvl w:val="0"/>
          <w:numId w:val="2"/>
        </w:numPr>
        <w:spacing w:after="60"/>
      </w:pPr>
      <w:r>
        <w:t xml:space="preserve">Approval, activation, and creation/update of the approved supplier in the ERP vendor master.</w:t>
      </w:r>
    </w:p>
    <w:p>
      <w:pPr>
        <w:pStyle w:val="ListParagraph"/>
        <w:numPr>
          <w:ilvl w:val="0"/>
          <w:numId w:val="2"/>
        </w:numPr>
        <w:spacing w:after="60"/>
      </w:pPr>
      <w:r>
        <w:t xml:space="preserve">Requalification and periodic review triggers.</w:t>
      </w:r>
    </w:p>
    <w:p>
      <w:pPr>
        <w:pStyle w:val="ListParagraph"/>
        <w:numPr>
          <w:ilvl w:val="0"/>
          <w:numId w:val="2"/>
        </w:numPr>
        <w:spacing w:after="60"/>
      </w:pPr>
      <w:r>
        <w:t xml:space="preserve">In-app feedback capture routed automatically into the workflow (replacing off-platform forms).</w:t>
      </w:r>
    </w:p>
    <w:p>
      <w:pPr>
        <w:pStyle w:val="ListParagraph"/>
        <w:numPr>
          <w:ilvl w:val="0"/>
          <w:numId w:val="2"/>
        </w:numPr>
        <w:spacing w:after="60"/>
      </w:pPr>
      <w:r>
        <w:t xml:space="preserve">Role-based access, full audit trail, dashboards, and reporting.</w:t>
      </w:r>
    </w:p>
    <w:p>
      <w:pPr>
        <w:pStyle w:val="ListParagraph"/>
        <w:numPr>
          <w:ilvl w:val="0"/>
          <w:numId w:val="2"/>
        </w:numPr>
        <w:spacing w:after="60"/>
      </w:pPr>
      <w:r>
        <w:t xml:space="preserve">Migration of the process off Appian and off Microsoft Power Platform for this workflow.</w:t>
      </w:r>
    </w:p>
    <w:p>
      <w:pPr>
        <w:pStyle w:val="Heading2"/>
      </w:pPr>
      <w:r>
        <w:t xml:space="preserve">5.2 Out of scope (this phase)</w:t>
      </w:r>
    </w:p>
    <w:p>
      <w:pPr>
        <w:pStyle w:val="ListParagraph"/>
        <w:numPr>
          <w:ilvl w:val="0"/>
          <w:numId w:val="2"/>
        </w:numPr>
        <w:spacing w:after="60"/>
      </w:pPr>
      <w:r>
        <w:t xml:space="preserve">Replacement of the PLM or ERP systems themselves (integrated, not replaced).</w:t>
      </w:r>
    </w:p>
    <w:p>
      <w:pPr>
        <w:pStyle w:val="ListParagraph"/>
        <w:numPr>
          <w:ilvl w:val="0"/>
          <w:numId w:val="2"/>
        </w:numPr>
        <w:spacing w:after="60"/>
      </w:pPr>
      <w:r>
        <w:t xml:space="preserve">Supplier performance management / scorecarding beyond qualification (candidate for a later phase).</w:t>
      </w:r>
    </w:p>
    <w:p>
      <w:pPr>
        <w:pStyle w:val="ListParagraph"/>
        <w:numPr>
          <w:ilvl w:val="0"/>
          <w:numId w:val="2"/>
        </w:numPr>
        <w:spacing w:after="60"/>
      </w:pPr>
      <w:r>
        <w:t xml:space="preserve">The other two flagship applications in the initiative (this app sets the pattern for them).</w:t>
      </w:r>
    </w:p>
    <w:p>
      <w:pPr>
        <w:pStyle w:val="ListParagraph"/>
        <w:numPr>
          <w:ilvl w:val="0"/>
          <w:numId w:val="2"/>
        </w:numPr>
        <w:spacing w:after="60"/>
      </w:pPr>
      <w:r>
        <w:t xml:space="preserve">Migration of historical Appian case data beyond an agreed cut-over set (see Section 11).</w:t>
      </w:r>
    </w:p>
    <w:p>
      <w:pPr>
        <w:pStyle w:val="Heading1"/>
      </w:pPr>
      <w:r>
        <w:t xml:space="preserve">6. Functional Requirements</w:t>
      </w:r>
    </w:p>
    <w:p>
      <w:pPr>
        <w:spacing w:after="120" w:line="276"/>
      </w:pPr>
      <w:r>
        <w:t xml:space="preserve">Requirements use MoSCoW priority (M = Must, S = Should, C = Could). IDs are stable references for traceability.</w:t>
      </w:r>
    </w:p>
    <w:p>
      <w:pPr>
        <w:pStyle w:val="Heading2"/>
      </w:pPr>
      <w:r>
        <w:t xml:space="preserve">6.1 Supplier intake &amp; self-service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6710"/>
        <w:gridCol w:w="1600"/>
      </w:tblGrid>
      <w:tr>
        <w:trPr>
          <w:tblHeader/>
        </w:trPr>
        <w:tc>
          <w:tcPr>
            <w:tcW w:type="dxa" w:w="1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ID</w:t>
            </w:r>
          </w:p>
        </w:tc>
        <w:tc>
          <w:tcPr>
            <w:tcW w:type="dxa" w:w="67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Requirement</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Priority</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FR-01</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Provide a supplier-facing portal to submit a new supplier/part request with company profile, contacts, tax/banking, and part details.</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FR-02</w:t>
            </w:r>
          </w:p>
        </w:tc>
        <w:tc>
          <w:tcPr>
            <w:tcW w:type="dxa" w:w="67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Support secure document upload (certifications, quality docs, compliance attestations) with type and expiry capture.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FR-03</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Validate submissions against required-field and format rules before the case can advance; surface clear inline errors.</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FR-04</w:t>
            </w:r>
          </w:p>
        </w:tc>
        <w:tc>
          <w:tcPr>
            <w:tcW w:type="dxa" w:w="67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Give suppliers real-time visibility of request status and outstanding actions.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S</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FR-05</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Support save-and-resume and multi-contact collaboration on a submission.</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C</w:t>
            </w:r>
          </w:p>
        </w:tc>
      </w:tr>
    </w:tbl>
    <w:p>
      <w:pPr>
        <w:pStyle w:val="Heading2"/>
      </w:pPr>
      <w:r>
        <w:t xml:space="preserve">6.2 Qualification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6710"/>
        <w:gridCol w:w="1600"/>
      </w:tblGrid>
      <w:tr>
        <w:trPr>
          <w:tblHeader/>
        </w:trPr>
        <w:tc>
          <w:tcPr>
            <w:tcW w:type="dxa" w:w="1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ID</w:t>
            </w:r>
          </w:p>
        </w:tc>
        <w:tc>
          <w:tcPr>
            <w:tcW w:type="dxa" w:w="67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Requirement</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Priority</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FR-06</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Automatically screen each submitted supplier against denied-party and sanctions lists on submission.</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FR-07</w:t>
            </w:r>
          </w:p>
        </w:tc>
        <w:tc>
          <w:tcPr>
            <w:tcW w:type="dxa" w:w="67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On a clean screen, advance the case; on a potential match, create a review task for the compliance team and hold the case.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FR-08</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Classify suppliers into tiers (e.g., Tier 1 critical vs. Tier 2 standard) and drive the qualification path from the tier.</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FR-09</w:t>
            </w:r>
          </w:p>
        </w:tc>
        <w:tc>
          <w:tcPr>
            <w:tcW w:type="dxa" w:w="67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Tier 1 path includes facility audit and financial review steps; Tier 2 path is a streamlined certification/document verification.</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FR-10</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Capture qualification outcomes, scores, and evidence against the supplier/part record.</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w:t>
            </w:r>
          </w:p>
        </w:tc>
      </w:tr>
    </w:tbl>
    <w:p>
      <w:pPr>
        <w:pStyle w:val="Heading2"/>
      </w:pPr>
      <w:r>
        <w:t xml:space="preserve">6.3 Cross-functional review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6710"/>
        <w:gridCol w:w="1600"/>
      </w:tblGrid>
      <w:tr>
        <w:trPr>
          <w:tblHeader/>
        </w:trPr>
        <w:tc>
          <w:tcPr>
            <w:tcW w:type="dxa" w:w="1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ID</w:t>
            </w:r>
          </w:p>
        </w:tc>
        <w:tc>
          <w:tcPr>
            <w:tcW w:type="dxa" w:w="67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Requirement</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Priority</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FR-11</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Support parallel functional reviews (procurement, quality, engineering, compliance) with per-team tasks and SLAs.</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FR-12</w:t>
            </w:r>
          </w:p>
        </w:tc>
        <w:tc>
          <w:tcPr>
            <w:tcW w:type="dxa" w:w="67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Apply conditional branching and plant-level variations to the standard workflow via configuration, not code changes.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S</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FR-13</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Provide multi-step approval with delegation, escalation on SLA breach, and a complete, immutable approval history.</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FR-14</w:t>
            </w:r>
          </w:p>
        </w:tc>
        <w:tc>
          <w:tcPr>
            <w:tcW w:type="dxa" w:w="67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Capture in-app stakeholder feedback and route it automatically back into the relevant workflow step.</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S</w:t>
            </w:r>
          </w:p>
        </w:tc>
      </w:tr>
    </w:tbl>
    <w:p>
      <w:pPr>
        <w:pStyle w:val="Heading2"/>
      </w:pPr>
      <w:r>
        <w:t xml:space="preserve">6.4 Part introduction &amp;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6710"/>
        <w:gridCol w:w="1600"/>
      </w:tblGrid>
      <w:tr>
        <w:trPr>
          <w:tblHeader/>
        </w:trPr>
        <w:tc>
          <w:tcPr>
            <w:tcW w:type="dxa" w:w="1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ID</w:t>
            </w:r>
          </w:p>
        </w:tc>
        <w:tc>
          <w:tcPr>
            <w:tcW w:type="dxa" w:w="67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Requirement</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Priority</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FR-15</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Link supplier qualification to PLM part and change data so a part cannot be released to a line without a qualified supplier.</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FR-16</w:t>
            </w:r>
          </w:p>
        </w:tc>
        <w:tc>
          <w:tcPr>
            <w:tcW w:type="dxa" w:w="67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On final approval, create/update the approved supplier in the ERP vendor master with status, effective date, and approved categories.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M</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FR-17</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Signal manufacturing-line readiness (part released) and expose it to downstream consumers.</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FR-18</w:t>
            </w:r>
          </w:p>
        </w:tc>
        <w:tc>
          <w:tcPr>
            <w:tcW w:type="dxa" w:w="67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Trigger requalification/periodic review based on expiry, category, or risk rules.</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S</w:t>
            </w:r>
          </w:p>
        </w:tc>
      </w:tr>
    </w:tbl>
    <w:p>
      <w:pPr>
        <w:pStyle w:val="Heading2"/>
      </w:pPr>
      <w:r>
        <w:t xml:space="preserve">6.5 Reporting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6710"/>
        <w:gridCol w:w="1600"/>
      </w:tblGrid>
      <w:tr>
        <w:trPr>
          <w:tblHeader/>
        </w:trPr>
        <w:tc>
          <w:tcPr>
            <w:tcW w:type="dxa" w:w="1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ID</w:t>
            </w:r>
          </w:p>
        </w:tc>
        <w:tc>
          <w:tcPr>
            <w:tcW w:type="dxa" w:w="67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Requirement</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Priority</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FR-19</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Role-based dashboards showing pipeline, cycle-time, bottlenecks, and SLA compliance by team and plant.</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FR-20</w:t>
            </w:r>
          </w:p>
        </w:tc>
        <w:tc>
          <w:tcPr>
            <w:tcW w:type="dxa" w:w="67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Configurable workflow, tiers, and rules maintainable by an administrator without redeployment where feasible.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S</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FR-21</w:t>
            </w:r>
          </w:p>
        </w:tc>
        <w:tc>
          <w:tcPr>
            <w:tcW w:type="dxa" w:w="67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Exportable audit and compliance reports for internal and external audit.</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w:t>
            </w:r>
          </w:p>
        </w:tc>
      </w:tr>
    </w:tbl>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050"/>
        <w:gridCol w:w="5260"/>
      </w:tblGrid>
      <w:tr>
        <w:trPr>
          <w:tblHeader/>
        </w:trPr>
        <w:tc>
          <w:tcPr>
            <w:tcW w:type="dxa" w:w="1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ID</w:t>
            </w:r>
          </w:p>
        </w:tc>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Category</w:t>
            </w:r>
          </w:p>
        </w:tc>
        <w:tc>
          <w:tcPr>
            <w:tcW w:type="dxa" w:w="5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Requirement</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NFR-01</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Security</w:t>
            </w:r>
          </w:p>
        </w:tc>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SSO via Rivian's identity provider with MFA; role-based access control; least-privilege service accounts for integrations; data encrypted in transit and at rest.</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NFR-02</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Compliance &amp; audit</w:t>
            </w:r>
          </w:p>
        </w:tc>
        <w:tc>
          <w:tcPr>
            <w:tcW w:type="dxa" w:w="5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Complete, immutable audit trail of every state change and approval; SOX-ready; exportable evidence; denied-party screening records retained per policy.</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NFR-03</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Performance</w:t>
            </w:r>
          </w:p>
        </w:tc>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Portal interactions responsive under expected concurrent load; batch/integration jobs complete within agreed windows (targets in Section 13).</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NFR-04</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Availability</w:t>
            </w:r>
          </w:p>
        </w:tc>
        <w:tc>
          <w:tcPr>
            <w:tcW w:type="dxa" w:w="5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Meets Rivian's availability tier for business-critical apps; graceful degradation and retry on integration outages.</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NFR-05</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Scalability</w:t>
            </w:r>
          </w:p>
        </w:tc>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Scales to full supplier/part volume across plants without redesign; multi-plant configuration supported.</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NFR-06</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Observability</w:t>
            </w:r>
          </w:p>
        </w:tc>
        <w:tc>
          <w:tcPr>
            <w:tcW w:type="dxa" w:w="5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Runtime monitoring, logging, and alerting available to Rivian ops; traceable transactions across integrations.</w:t>
            </w:r>
          </w:p>
        </w:tc>
      </w:tr>
      <w:tr>
        <w:tc>
          <w:tcPr>
            <w:tcW w:type="dxa" w:w="1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NFR-07</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Maintainability</w:t>
            </w:r>
          </w:p>
        </w:tc>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Buildable and supportable by Rivian full-time staff; documented, standards-compliant, no key-person dependency.</w:t>
            </w:r>
          </w:p>
        </w:tc>
      </w:tr>
      <w:tr>
        <w:tc>
          <w:tcPr>
            <w:tcW w:type="dxa" w:w="1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NFR-08</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Data residency</w:t>
            </w:r>
          </w:p>
        </w:tc>
        <w:tc>
          <w:tcPr>
            <w:tcW w:type="dxa" w:w="5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Complies with Rivian data residency and retention policies for supplier PII and financial data.</w:t>
            </w:r>
          </w:p>
        </w:tc>
      </w:tr>
    </w:tbl>
    <w:p>
      <w:pPr>
        <w:pStyle w:val="Heading1"/>
      </w:pPr>
      <w:r>
        <w:t xml:space="preserve">8.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System</w:t>
            </w:r>
          </w:p>
        </w:tc>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Direction</w:t>
            </w:r>
          </w:p>
        </w:tc>
        <w:tc>
          <w:tcPr>
            <w:tcW w:type="dxa" w:w="5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Purpose &amp; notes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PLM</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Bidirectional</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Read part and change data; write supplier-qualification linkage; gate part release on qualified supplier. Primary system of record for parts.</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ERP (vendor master)</w:t>
            </w:r>
          </w:p>
        </w:tc>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Outbound (write) + read</w:t>
            </w:r>
          </w:p>
        </w:tc>
        <w:tc>
          <w:tcPr>
            <w:tcW w:type="dxa" w:w="5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Create/update approved supplier records with status, effective date, and approved categories on approval; read existing vendor data to avoid duplicates.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Identity provider (SSO/MFA)</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Inbound</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Authentication and role mapping for internal reviewers and, where applicable, supplier users.</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Denied-party / sanctions screening</w:t>
            </w:r>
          </w:p>
        </w:tc>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Outbound (query)</w:t>
            </w:r>
          </w:p>
        </w:tc>
        <w:tc>
          <w:tcPr>
            <w:tcW w:type="dxa" w:w="5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Automated compliance screening on submission and requalification.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Document storage</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Bidirectional</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Store and retrieve supplier documents/attestations; replace SharePoint-based storage for this process.</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Notification / messaging</w:t>
            </w:r>
          </w:p>
        </w:tc>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Outbound</w:t>
            </w:r>
          </w:p>
        </w:tc>
        <w:tc>
          <w:tcPr>
            <w:tcW w:type="dxa" w:w="5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Task, SLA, and status notifications to reviewers and suppliers.</w:t>
            </w:r>
          </w:p>
        </w:tc>
      </w:tr>
    </w:tbl>
    <w:p>
      <w:pPr>
        <w:spacing w:after="120" w:line="276"/>
      </w:pPr>
      <w:r>
        <w:rPr>
          <w:i/>
          <w:iCs/>
        </w:rPr>
        <w:t xml:space="preserve">Note: exact PLM and ERP product/versions and API availability must be confirmed during discovery. Access provisioning to integration endpoints (identity, storage, ERP, PLM) is a known historical blocker and is called out as a dependency in Section 14.</w:t>
      </w:r>
    </w:p>
    <w:p>
      <w:pPr>
        <w:pStyle w:val="Heading1"/>
      </w:pPr>
      <w:r>
        <w:t xml:space="preserve">9. Data Model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Entity</w:t>
            </w:r>
          </w:p>
        </w:tc>
        <w:tc>
          <w:tcPr>
            <w:tcW w:type="dxa" w:w="7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Key attributes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Supplier</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Legal name, IDs/DUNS, addresses, tax &amp; banking, tier, risk category, status, effective dates.</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Contact</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Name, role, email/phone, linked supplier, primary flag.</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Part</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Part number, description, category, PLM reference, associated supplier(s), release status.</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Qualification Case</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Case ID, supplier/part refs, tier, current stage, SLA/due dates, outcome, score.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Review Task</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Team (procurement/quality/engineering/compliance), assignee, status, decision, timestamps.</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Document</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Type, file reference, issue/expiry dates, verification status.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Screening Result</w:t>
            </w:r>
          </w:p>
        </w:tc>
        <w:tc>
          <w:tcPr>
            <w:tcW w:type="dxa" w:w="7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List(s) checked, result, match details, reviewer disposition, timestamp.</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Audit Event</w:t>
            </w:r>
          </w:p>
        </w:tc>
        <w:tc>
          <w:tcPr>
            <w:tcW w:type="dxa" w:w="7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Actor, action, entity, before/after, timestamp (immutable).</w:t>
            </w:r>
          </w:p>
        </w:tc>
      </w:tr>
    </w:tbl>
    <w:p>
      <w:pPr>
        <w:pStyle w:val="Heading1"/>
      </w:pPr>
      <w:r>
        <w:t xml:space="preserve">10. Migration Approach (Appian &amp; Power Platform)</w:t>
      </w:r>
    </w:p>
    <w:p>
      <w:pPr>
        <w:spacing w:after="120" w:line="276"/>
      </w:pPr>
      <w:r>
        <w:t xml:space="preserve">OutSystems uses its own model and runtime; there is no automated import of an Appian or Power Platform application. Migration is therefore a governed rebuild on ODC, not a lift-and-shift, using the incumbent systems as reference for requirements and business rules. This is an opportunity to close the documented requirement gaps rather than replicate them.</w:t>
      </w:r>
    </w:p>
    <w:p>
      <w:pPr>
        <w:pStyle w:val="Heading2"/>
      </w:pPr>
      <w:r>
        <w:t xml:space="preserve">10.1 Approach</w:t>
      </w:r>
    </w:p>
    <w:p>
      <w:pPr>
        <w:pStyle w:val="ListParagraph"/>
        <w:numPr>
          <w:ilvl w:val="0"/>
          <w:numId w:val="2"/>
        </w:numPr>
        <w:spacing w:after="60"/>
      </w:pPr>
      <w:r>
        <w:t xml:space="preserve">Discovery: confirm the as-is process, rules, and integrations from Appian/Power Platform and stakeholder interviews; finalize the requirement-gap list.</w:t>
      </w:r>
    </w:p>
    <w:p>
      <w:pPr>
        <w:pStyle w:val="ListParagraph"/>
        <w:numPr>
          <w:ilvl w:val="0"/>
          <w:numId w:val="2"/>
        </w:numPr>
        <w:spacing w:after="60"/>
      </w:pPr>
      <w:r>
        <w:t xml:space="preserve">Rebuild on ODC: implement the target workflow, data model, and integrations; accelerate initial build using platform AI generation from the finalized requirements, with human review.</w:t>
      </w:r>
    </w:p>
    <w:p>
      <w:pPr>
        <w:pStyle w:val="ListParagraph"/>
        <w:numPr>
          <w:ilvl w:val="0"/>
          <w:numId w:val="2"/>
        </w:numPr>
        <w:spacing w:after="60"/>
      </w:pPr>
      <w:r>
        <w:t xml:space="preserve">Data migration: migrate open/in-flight cases and reference data per an agreed cut-over set; historical closed cases archived or read-only as agreed.</w:t>
      </w:r>
    </w:p>
    <w:p>
      <w:pPr>
        <w:pStyle w:val="ListParagraph"/>
        <w:numPr>
          <w:ilvl w:val="0"/>
          <w:numId w:val="2"/>
        </w:numPr>
        <w:spacing w:after="60"/>
      </w:pPr>
      <w:r>
        <w:t xml:space="preserve">Parallel/cut-over: run a controlled cut-over with rollback; decommission the Appian workflow and the Power Platform intake for this process.</w:t>
      </w:r>
    </w:p>
    <w:p>
      <w:pPr>
        <w:pStyle w:val="Heading2"/>
      </w:pPr>
      <w:r>
        <w:t xml:space="preserve">10.2 What is explicitly not carried over</w:t>
      </w:r>
    </w:p>
    <w:p>
      <w:pPr>
        <w:pStyle w:val="ListParagraph"/>
        <w:numPr>
          <w:ilvl w:val="0"/>
          <w:numId w:val="2"/>
        </w:numPr>
        <w:spacing w:after="60"/>
      </w:pPr>
      <w:r>
        <w:t xml:space="preserve">Undocumented workarounds and manual spreadsheet steps — replaced by governed workflow.</w:t>
      </w:r>
    </w:p>
    <w:p>
      <w:pPr>
        <w:pStyle w:val="ListParagraph"/>
        <w:numPr>
          <w:ilvl w:val="0"/>
          <w:numId w:val="2"/>
        </w:numPr>
        <w:spacing w:after="60"/>
      </w:pPr>
      <w:r>
        <w:t xml:space="preserve">Off-platform feedback capture — replaced by in-app feedback routing.</w:t>
      </w:r>
    </w:p>
    <w:p>
      <w:pPr>
        <w:pStyle w:val="Heading1"/>
      </w:pPr>
      <w:r>
        <w:t xml:space="preserve">11. Governance &amp; AIDLC Fit</w:t>
      </w:r>
    </w:p>
    <w:p>
      <w:pPr>
        <w:spacing w:after="120" w:line="276"/>
      </w:pPr>
      <w:r>
        <w:t xml:space="preserve">The solution is designed to slot into Rivian's reference architecture and AI development lifecycle as the governed platform layer for this class of application — not to replace Rivian's AIDLC. Rivian's teams and preferred front-end AI tooling remain in place; the platform provides the built-in machinery that makes AI-accelerated app delivery safe and releasable.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AIDLC stage</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Platform capability</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Requirements → generation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Generate an initial application from the finalized requirements document as a reviewed starting point, accelerating build.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Build &amp; iterate</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Model-based, standards-compliant development supportable by FTEs; architectural coherence enforced.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Review &amp; security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Automated pre-deploy code review across security, performance, architecture, and maintainability — reducing manual security-review time.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Deploy</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Governed, guardrailed deployment pipeline; no ad-hoc deploys; environment promotion controls.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Operate &amp; observe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Runtime monitoring, logging, and audit built in and available to Rivian ops.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Govern (cross-cutting)</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Enterprise context and guardrails applied consistently; open to Rivian's chosen front-end AI tooling while keeping output governed.</w:t>
            </w:r>
          </w:p>
        </w:tc>
      </w:tr>
    </w:tbl>
    <w:p>
      <w:pPr>
        <w:spacing w:after="120" w:line="276"/>
      </w:pPr>
      <w:r>
        <w:rPr>
          <w:i/>
          <w:iCs/>
        </w:rPr>
        <w:t xml:space="preserve">Maturity note: application generation and full-lifecycle automation capabilities are generally available; broader agentic, governed AI-development capabilities are newer (early-access class). This spec relies on generally available capability for delivery; newer capabilities are positioned as forward-looking and a potential design-partner opportunity, not delivery dependencies.</w:t>
      </w:r>
    </w:p>
    <w:p>
      <w:pPr>
        <w:pStyle w:val="Heading1"/>
      </w:pPr>
      <w:r>
        <w:t xml:space="preserve">12. Delivery Phasing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Phase</w:t>
            </w:r>
          </w:p>
        </w:tc>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Focus</w:t>
            </w:r>
          </w:p>
        </w:tc>
        <w:tc>
          <w:tcPr>
            <w:tcW w:type="dxa" w:w="4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Outcome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Phase 0 — Discovery</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Confirm process, rules, integrations; finalize requirement gaps; validate architecture fit.</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Agreed backlog, integration plan, and architecture sign-off with Tech Lead.</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Phase 1 — Core onboarding</w:t>
            </w:r>
          </w:p>
        </w:tc>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Intake portal, screening, tiered qualification, approvals, audit.</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End-to-end onboarding for a pilot supplier/part set.</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Phase 2 — Integrations &amp; release</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PLM/ERP integration, part release-to-line, requalification.</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Approved suppliers written to ERP; parts gated on qualification.</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Phase 3 — Cut-over</w:t>
            </w:r>
          </w:p>
        </w:tc>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Data migration, parallel run, decommission Appian &amp; Power Platform intake.</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Legacy retired; process fully on ODC.</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Phase 4 — Optimize</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Dashboards, feedback automation, config self-service.</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Reduced manual effort; reusable pattern for apps 2 and 3.</w:t>
            </w:r>
          </w:p>
        </w:tc>
      </w:tr>
    </w:tbl>
    <w:p>
      <w:pPr>
        <w:spacing w:after="120" w:line="276"/>
      </w:pPr>
      <w:r>
        <w:rPr>
          <w:i/>
          <w:iCs/>
        </w:rPr>
        <w:t xml:space="preserve">Timelines to be set with Rivian; the OutSystems contract renewal date (August 15) is a key planning constraint for Phase 0 sign-off.</w:t>
      </w:r>
    </w:p>
    <w:p>
      <w:pPr>
        <w:pStyle w:val="Heading1"/>
      </w:pPr>
      <w:r>
        <w:t xml:space="preserve">13. Acceptance Criteria &amp; Value Metrics</w:t>
      </w:r>
    </w:p>
    <w:p>
      <w:pPr>
        <w:spacing w:after="120" w:line="276"/>
      </w:pPr>
      <w:r>
        <w:t xml:space="preserve">Targets to be finalized with Rivian; the following are the metric categories the solution will be measured against, so that value can be quantified for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Metric</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Definition / target basis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Cycle-time reduction</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 reduction in end-to-end supplier/part onboarding time vs. the Appian baseline (industry rebuilds commonly target 50–70%).</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Security-review time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Reduction in average security/compliance review duration vs. current baseline (currently 20+ days in cases).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Manual touchpoints</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Reduction in off-platform/manual steps (email, spreadsheets, Power Platform intake) per case.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Microsoft footprint</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Power Platform / SharePoint components decommissioned for this process.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Appian retirement</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Incumbent workflow retired; no residual Appian dependency.</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Audit readiness</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100% of approvals with complete, exportable audit trail.</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Maintainability</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Application supportable by Rivian FTEs with no contractor key-person dependency.</w:t>
            </w:r>
          </w:p>
        </w:tc>
      </w:tr>
    </w:tbl>
    <w:p>
      <w:pPr>
        <w:pStyle w:val="Heading1"/>
      </w:pPr>
      <w:r>
        <w:t xml:space="preserve">14. Risks, Assumptions &amp; Dependencies</w:t>
      </w:r>
    </w:p>
    <w:p>
      <w:pPr>
        <w:pStyle w:val="Heading2"/>
      </w:pPr>
      <w:r>
        <w:t xml:space="preserve">14.1 Assumptions</w:t>
      </w:r>
    </w:p>
    <w:p>
      <w:pPr>
        <w:pStyle w:val="ListParagraph"/>
        <w:numPr>
          <w:ilvl w:val="0"/>
          <w:numId w:val="2"/>
        </w:numPr>
        <w:spacing w:after="60"/>
      </w:pPr>
      <w:r>
        <w:t xml:space="preserve">PLM and ERP expose supported, documented integration APIs.</w:t>
      </w:r>
    </w:p>
    <w:p>
      <w:pPr>
        <w:pStyle w:val="ListParagraph"/>
        <w:numPr>
          <w:ilvl w:val="0"/>
          <w:numId w:val="2"/>
        </w:numPr>
        <w:spacing w:after="60"/>
      </w:pPr>
      <w:r>
        <w:t xml:space="preserve">Rivian provides timely access to integration endpoints (identity, storage, ERP, PLM) and a product owner for requirements.</w:t>
      </w:r>
    </w:p>
    <w:p>
      <w:pPr>
        <w:pStyle w:val="ListParagraph"/>
        <w:numPr>
          <w:ilvl w:val="0"/>
          <w:numId w:val="2"/>
        </w:numPr>
        <w:spacing w:after="60"/>
      </w:pPr>
      <w:r>
        <w:t xml:space="preserve">Requirement gaps for the process will be finalized during Phase 0 discovery.</w:t>
      </w:r>
    </w:p>
    <w:p>
      <w:pPr>
        <w:pStyle w:val="Heading2"/>
      </w:pPr>
      <w:r>
        <w:t xml:space="preserve">14.2 Key risks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Risk / dependency</w:t>
            </w:r>
          </w:p>
        </w:tc>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Impact</w:t>
            </w:r>
          </w:p>
        </w:tc>
        <w:tc>
          <w:tcPr>
            <w:tcW w:type="dxa" w:w="2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20"/>
                <w:szCs w:val="20"/>
              </w:rPr>
              <w:t xml:space="preserve">Mitigation</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Delayed access to integration endpoints (historical blocker)</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Slips build/integration; repeats prior delivery friction.</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Provision access in Phase 0 as an explicit gate before build.</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Incomplete/undocumented legacy requirements</w:t>
            </w:r>
          </w:p>
        </w:tc>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Missed requirements and rework, as seen previously.</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Discovery-led rebuild; product owner engaged; gap list signed off.</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Skill/continuity (contractor-held knowledge)</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Key-person risk; weak knowledge transfer to FTEs.</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FTE enablement and standards adoption during delivery; documented build.</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bCs/>
                <w:sz w:val="20"/>
                <w:szCs w:val="20"/>
              </w:rPr>
              <w:t xml:space="preserve">Architecture-fit uncertainty</w:t>
            </w:r>
          </w:p>
        </w:tc>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Risk of not meeting reference architecture/AIDLC.</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sz w:val="20"/>
                <w:szCs w:val="20"/>
              </w:rPr>
              <w:t xml:space="preserve">Tech Lead validates fit in Phase 0 before commitment.</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bCs/>
                <w:sz w:val="20"/>
                <w:szCs w:val="20"/>
              </w:rPr>
              <w:t xml:space="preserve">Renewal timing (Aug 15)</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Planning/commercial pressure on Phase 0.</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r>
              <w:rPr>
                <w:b w:val="false"/>
                <w:bCs w:val="false"/>
                <w:sz w:val="20"/>
                <w:szCs w:val="20"/>
              </w:rPr>
              <w:t xml:space="preserve">Prioritize architecture-fit and value validation ahead of renewal.</w:t>
            </w:r>
          </w:p>
        </w:tc>
      </w:tr>
    </w:tbl>
    <w:p>
      <w:pPr>
        <w:pStyle w:val="Heading1"/>
      </w:pPr>
      <w:r>
        <w:t xml:space="preserve">15. Open Questions</w:t>
      </w:r>
    </w:p>
    <w:p>
      <w:pPr>
        <w:pStyle w:val="ListParagraph"/>
        <w:numPr>
          <w:ilvl w:val="0"/>
          <w:numId w:val="2"/>
        </w:numPr>
        <w:spacing w:after="60"/>
      </w:pPr>
      <w:r>
        <w:t xml:space="preserve">Which PLM and ERP products/versions are in scope, and what integration APIs are available?</w:t>
      </w:r>
    </w:p>
    <w:p>
      <w:pPr>
        <w:pStyle w:val="ListParagraph"/>
        <w:numPr>
          <w:ilvl w:val="0"/>
          <w:numId w:val="2"/>
        </w:numPr>
        <w:spacing w:after="60"/>
      </w:pPr>
      <w:r>
        <w:t xml:space="preserve">What are the exact supplier tiers and the qualification steps per tier at Rivian?</w:t>
      </w:r>
    </w:p>
    <w:p>
      <w:pPr>
        <w:pStyle w:val="ListParagraph"/>
        <w:numPr>
          <w:ilvl w:val="0"/>
          <w:numId w:val="2"/>
        </w:numPr>
        <w:spacing w:after="60"/>
      </w:pPr>
      <w:r>
        <w:t xml:space="preserve">Which denied-party/sanctions screening service is standard for Rivian?</w:t>
      </w:r>
    </w:p>
    <w:p>
      <w:pPr>
        <w:pStyle w:val="ListParagraph"/>
        <w:numPr>
          <w:ilvl w:val="0"/>
          <w:numId w:val="2"/>
        </w:numPr>
        <w:spacing w:after="60"/>
      </w:pPr>
      <w:r>
        <w:t xml:space="preserve">What is the required set of open/historical cases to migrate at cut-over?</w:t>
      </w:r>
    </w:p>
    <w:p>
      <w:pPr>
        <w:pStyle w:val="ListParagraph"/>
        <w:numPr>
          <w:ilvl w:val="0"/>
          <w:numId w:val="2"/>
        </w:numPr>
        <w:spacing w:after="60"/>
      </w:pPr>
      <w:r>
        <w:t xml:space="preserve">Do suppliers authenticate as external users, and via which identity model?</w:t>
      </w:r>
    </w:p>
    <w:p>
      <w:pPr>
        <w:pStyle w:val="ListParagraph"/>
        <w:numPr>
          <w:ilvl w:val="0"/>
          <w:numId w:val="2"/>
        </w:numPr>
        <w:spacing w:after="60"/>
      </w:pPr>
      <w:r>
        <w:t xml:space="preserve">What are the target cycle-time and security-review baselines to measure against?</w:t>
      </w:r>
    </w:p>
    <w:p>
      <w:pPr>
        <w:pStyle w:val="ListParagraph"/>
        <w:numPr>
          <w:ilvl w:val="0"/>
          <w:numId w:val="2"/>
        </w:numPr>
        <w:spacing w:after="60"/>
      </w:pPr>
      <w:r>
        <w:t xml:space="preserve">How does this app's pattern need to generalize to the other two flagship applications?</w:t>
      </w:r>
    </w:p>
    <w:p>
      <w:pPr>
        <w:pBdr>
          <w:top w:val="single" w:color="BFBFBF" w:sz="4" w:space="6"/>
        </w:pBdr>
        <w:spacing w:before="200"/>
      </w:pPr>
      <w:r>
        <w:rPr>
          <w:i/>
          <w:iCs/>
          <w:color w:val="808080"/>
          <w:sz w:val="18"/>
          <w:szCs w:val="18"/>
        </w:rPr>
        <w:t xml:space="preserve">End of specification (Draft v0.1). Sections and targets are indicative pending Phase 0 discovery and Tech Lead architecture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OutSystems — Confidential</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808080"/>
        <w:sz w:val="16"/>
        <w:szCs w:val="16"/>
      </w:rPr>
      <w:t xml:space="preserve">Supplier &amp; Parts Onboarding Platform</w:t>
    </w:r>
    <w:r>
      <w:rPr>
        <w:color w:val="808080"/>
        <w:sz w:val="16"/>
        <w:szCs w:val="16"/>
      </w:rPr>
      <w:t xml:space="preserve">	Solution &amp;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20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Rivian Supplier &amp; Parts Onboarding — Solution &amp; Requirements Specification</dc:title>
  <dc:creator>OutSystems</dc:creator>
  <cp:lastModifiedBy>Un-named</cp:lastModifiedBy>
  <cp:revision>1</cp:revision>
  <dcterms:created xsi:type="dcterms:W3CDTF">2026-07-07T17:51:14.174Z</dcterms:created>
  <dcterms:modified xsi:type="dcterms:W3CDTF">2026-07-07T17:51:14.174Z</dcterms:modified>
</cp:coreProperties>
</file>

<file path=docProps/custom.xml><?xml version="1.0" encoding="utf-8"?>
<Properties xmlns="http://schemas.openxmlformats.org/officeDocument/2006/custom-properties" xmlns:vt="http://schemas.openxmlformats.org/officeDocument/2006/docPropsVTypes"/>
</file>