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FBD7E24" w14:textId="77777777" w:rsidR="004F6F6B" w:rsidRDefault="004F6F6B" w:rsidP="00DC1C77">
            <w:pPr>
              <w:pStyle w:val="Normal1"/>
              <w:ind w:right="801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BSc</w:t>
            </w:r>
            <w:r w:rsidR="0049793B">
              <w:rPr>
                <w:sz w:val="36"/>
                <w:szCs w:val="36"/>
              </w:rPr>
              <w:t xml:space="preserve"> in </w:t>
            </w:r>
            <w:r w:rsidR="00DC1C77">
              <w:rPr>
                <w:sz w:val="36"/>
                <w:szCs w:val="36"/>
              </w:rPr>
              <w:t xml:space="preserve">LEI </w:t>
            </w:r>
          </w:p>
          <w:p w14:paraId="0E94EB11" w14:textId="739CF46E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23AB0E57" w:rsidR="00234E42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  <w:r w:rsidR="00497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</w:t>
            </w:r>
          </w:p>
          <w:p w14:paraId="0E814B07" w14:textId="44F98A56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72973, Ricardo Santos</w:t>
            </w:r>
            <w:r w:rsidR="00D20F03">
              <w:rPr>
                <w:sz w:val="28"/>
                <w:szCs w:val="28"/>
              </w:rPr>
              <w:t>, EIC1</w:t>
            </w:r>
          </w:p>
          <w:p w14:paraId="3D1BCA5D" w14:textId="2AF7E5E8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72898, Diana Lopes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6E2F3510" w14:textId="44686FCB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73529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Kevin Corrales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24139A81" w14:textId="16919F49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73541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Miguel Rodrigues</w:t>
            </w:r>
            <w:r w:rsidR="00D20F03">
              <w:rPr>
                <w:sz w:val="28"/>
                <w:szCs w:val="28"/>
              </w:rPr>
              <w:t>, EIC1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</w:t>
            </w:r>
            <w:proofErr w:type="spellStart"/>
            <w:r>
              <w:rPr>
                <w:sz w:val="28"/>
                <w:szCs w:val="28"/>
              </w:rPr>
              <w:t>Instituto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FF2F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FF2F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FF2F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FF2F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FF2F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FF2FD7" w:rsidP="0049793B">
      <w:pPr>
        <w:pStyle w:val="Cabealho2"/>
      </w:pPr>
      <w:hyperlink w:anchor="__RefHeading___Toc2530_1503482439"/>
    </w:p>
    <w:p w14:paraId="24F2DC22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FF2FD7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FF2FD7" w:rsidP="00AF45F2">
      <w:pPr>
        <w:pStyle w:val="Cabealh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3E6F12AA" w:rsidR="0049793B" w:rsidRDefault="00D20F03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Analyser</w:t>
      </w:r>
      <w:proofErr w:type="spellEnd"/>
      <w:r>
        <w:rPr>
          <w:sz w:val="24"/>
          <w:szCs w:val="24"/>
        </w:rPr>
        <w:t xml:space="preserve"> class has the objective of calculate the false negatives and false positives. This class has the methods that count either false positive and negatives and the respective percentage.</w:t>
      </w:r>
    </w:p>
    <w:p w14:paraId="54118FBD" w14:textId="77777777" w:rsidR="00116612" w:rsidRDefault="00116612" w:rsidP="0049793B">
      <w:pPr>
        <w:pStyle w:val="Normal1"/>
        <w:tabs>
          <w:tab w:val="left" w:pos="1533"/>
        </w:tabs>
        <w:rPr>
          <w:sz w:val="24"/>
          <w:szCs w:val="24"/>
        </w:rPr>
      </w:pPr>
    </w:p>
    <w:p w14:paraId="40C41768" w14:textId="7C67F6B4" w:rsidR="00116612" w:rsidRDefault="00116612" w:rsidP="0049793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The Email class has the </w:t>
      </w:r>
      <w:r w:rsidR="0015030A">
        <w:rPr>
          <w:sz w:val="24"/>
          <w:szCs w:val="24"/>
        </w:rPr>
        <w:t>goal</w:t>
      </w:r>
      <w:r>
        <w:rPr>
          <w:sz w:val="24"/>
          <w:szCs w:val="24"/>
        </w:rPr>
        <w:t xml:space="preserve"> of representing an Email. An Email can be also considered as spam.</w:t>
      </w:r>
      <w:r w:rsidR="0015030A">
        <w:rPr>
          <w:sz w:val="24"/>
          <w:szCs w:val="24"/>
        </w:rPr>
        <w:t xml:space="preserve"> Its attributes are the identifier and the list of rules assigned to that Email.</w:t>
      </w:r>
    </w:p>
    <w:p w14:paraId="49510B10" w14:textId="77777777" w:rsidR="00116612" w:rsidRDefault="00116612" w:rsidP="0049793B">
      <w:pPr>
        <w:pStyle w:val="Normal1"/>
        <w:tabs>
          <w:tab w:val="left" w:pos="1533"/>
        </w:tabs>
        <w:rPr>
          <w:sz w:val="24"/>
          <w:szCs w:val="24"/>
        </w:rPr>
      </w:pPr>
    </w:p>
    <w:p w14:paraId="5045A1C2" w14:textId="1B36ED33" w:rsidR="00116612" w:rsidRDefault="00116612" w:rsidP="0049793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The File Reader class reads the file that contains the spam rules and creates a list with those rules, </w:t>
      </w:r>
      <w:r>
        <w:rPr>
          <w:sz w:val="24"/>
          <w:szCs w:val="24"/>
        </w:rPr>
        <w:t>reads the file that contains the spam rules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using the weights as arguments, read the files that contain the e-mail or spam and creates a list with those e-mails or spams, converts a file into a vector of doubles, checks which of the lines represents the major approximation to a professional e-mail, save the values given </w:t>
      </w:r>
      <w:r w:rsidR="0015030A">
        <w:rPr>
          <w:sz w:val="24"/>
          <w:szCs w:val="24"/>
        </w:rPr>
        <w:t>through a list of strings and saves them in a file.</w:t>
      </w:r>
    </w:p>
    <w:p w14:paraId="582508B5" w14:textId="77777777" w:rsidR="0015030A" w:rsidRDefault="0015030A" w:rsidP="0049793B">
      <w:pPr>
        <w:pStyle w:val="Normal1"/>
        <w:tabs>
          <w:tab w:val="left" w:pos="1533"/>
        </w:tabs>
        <w:rPr>
          <w:sz w:val="24"/>
          <w:szCs w:val="24"/>
        </w:rPr>
      </w:pPr>
    </w:p>
    <w:p w14:paraId="115DD79B" w14:textId="1FC24A7D" w:rsidR="0015030A" w:rsidRDefault="0015030A" w:rsidP="0015030A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Rule</w:t>
      </w:r>
      <w:r>
        <w:rPr>
          <w:sz w:val="24"/>
          <w:szCs w:val="24"/>
        </w:rPr>
        <w:t xml:space="preserve"> class has the </w:t>
      </w:r>
      <w:r>
        <w:rPr>
          <w:sz w:val="24"/>
          <w:szCs w:val="24"/>
        </w:rPr>
        <w:t>goal</w:t>
      </w:r>
      <w:r>
        <w:rPr>
          <w:sz w:val="24"/>
          <w:szCs w:val="24"/>
        </w:rPr>
        <w:t xml:space="preserve"> of representing an Email</w:t>
      </w:r>
      <w:r>
        <w:rPr>
          <w:sz w:val="24"/>
          <w:szCs w:val="24"/>
        </w:rPr>
        <w:t xml:space="preserve"> rule. Its attributes are the identifier and weight.</w:t>
      </w:r>
    </w:p>
    <w:p w14:paraId="3DA8D771" w14:textId="77777777" w:rsidR="0015030A" w:rsidRDefault="0015030A" w:rsidP="0049793B">
      <w:pPr>
        <w:pStyle w:val="Normal1"/>
        <w:tabs>
          <w:tab w:val="left" w:pos="1533"/>
        </w:tabs>
        <w:rPr>
          <w:sz w:val="24"/>
          <w:szCs w:val="24"/>
        </w:rPr>
      </w:pPr>
    </w:p>
    <w:p w14:paraId="3B704E74" w14:textId="10FD3534" w:rsidR="0015030A" w:rsidRDefault="0015030A" w:rsidP="0049793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bookmarkStart w:id="4" w:name="_GoBack"/>
      <w:proofErr w:type="spellStart"/>
      <w:r>
        <w:rPr>
          <w:sz w:val="24"/>
          <w:szCs w:val="24"/>
        </w:rPr>
        <w:t>Interface_Window</w:t>
      </w:r>
      <w:bookmarkEnd w:id="4"/>
      <w:proofErr w:type="spellEnd"/>
      <w:r>
        <w:rPr>
          <w:sz w:val="24"/>
          <w:szCs w:val="24"/>
        </w:rPr>
        <w:t xml:space="preserve"> </w:t>
      </w:r>
      <w:r w:rsidR="00B81988">
        <w:rPr>
          <w:sz w:val="24"/>
          <w:szCs w:val="24"/>
        </w:rPr>
        <w:t xml:space="preserve">class </w:t>
      </w:r>
      <w:r>
        <w:rPr>
          <w:sz w:val="24"/>
          <w:szCs w:val="24"/>
        </w:rPr>
        <w:t>represents the interface and its components.</w:t>
      </w:r>
    </w:p>
    <w:p w14:paraId="3DDEE755" w14:textId="77777777" w:rsidR="00B81988" w:rsidRDefault="00B81988" w:rsidP="0049793B">
      <w:pPr>
        <w:pStyle w:val="Normal1"/>
        <w:tabs>
          <w:tab w:val="left" w:pos="1533"/>
        </w:tabs>
        <w:rPr>
          <w:sz w:val="24"/>
          <w:szCs w:val="24"/>
        </w:rPr>
      </w:pPr>
    </w:p>
    <w:p w14:paraId="3FC3C8DA" w14:textId="5B57A80F" w:rsidR="00B81988" w:rsidRDefault="00B81988" w:rsidP="0049793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The Message class indicates an error during the </w:t>
      </w:r>
      <w:proofErr w:type="spellStart"/>
      <w:r>
        <w:rPr>
          <w:sz w:val="24"/>
          <w:szCs w:val="24"/>
        </w:rPr>
        <w:t>programm</w:t>
      </w:r>
      <w:proofErr w:type="spellEnd"/>
      <w:r>
        <w:rPr>
          <w:sz w:val="24"/>
          <w:szCs w:val="24"/>
        </w:rPr>
        <w:t xml:space="preserve"> execution.</w:t>
      </w:r>
    </w:p>
    <w:p w14:paraId="5884AE5A" w14:textId="2ED61C4E" w:rsidR="0049793B" w:rsidRPr="0049793B" w:rsidRDefault="0049793B" w:rsidP="00AF45F2">
      <w:pPr>
        <w:pStyle w:val="Cabealho1"/>
      </w:pPr>
      <w:bookmarkStart w:id="5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5"/>
    </w:p>
    <w:p w14:paraId="1CF62626" w14:textId="77777777" w:rsidR="00D20F03" w:rsidRDefault="00D20F03" w:rsidP="00D20F03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Analyser</w:t>
      </w:r>
      <w:proofErr w:type="spellEnd"/>
      <w:r>
        <w:rPr>
          <w:sz w:val="24"/>
          <w:szCs w:val="24"/>
        </w:rPr>
        <w:t xml:space="preserve"> class has the objective of calculate the false negatives and false positives. This class has the methods that count either false positive and negatives and the respective percentage.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1EB2460" w:rsidR="007457A7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51B7EDAF" w14:textId="3030C47C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1826381B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77777777" w:rsidR="0049793B" w:rsidRDefault="0049793B" w:rsidP="00AF45F2">
      <w:pPr>
        <w:pStyle w:val="Cabealho1"/>
      </w:pPr>
      <w:bookmarkStart w:id="6" w:name="_Toc498465004"/>
      <w:r>
        <w:t>Code inspection checklist</w:t>
      </w:r>
      <w:bookmarkEnd w:id="6"/>
    </w:p>
    <w:p w14:paraId="795A8E7B" w14:textId="6B9866D8" w:rsidR="00234E42" w:rsidRDefault="00D20F03" w:rsidP="00AF45F2">
      <w:pPr>
        <w:pStyle w:val="Cabealho1"/>
        <w:rPr>
          <w:sz w:val="24"/>
          <w:szCs w:val="24"/>
        </w:rPr>
      </w:pPr>
      <w:bookmarkStart w:id="7" w:name="_Toc498465005"/>
      <w:proofErr w:type="gramStart"/>
      <w:r>
        <w:t>,</w:t>
      </w:r>
      <w:r w:rsidR="0049793B">
        <w:t>Found</w:t>
      </w:r>
      <w:proofErr w:type="gramEnd"/>
      <w:r w:rsidR="0049793B">
        <w:t xml:space="preserve">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lastRenderedPageBreak/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Cabealh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Cabealho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for the purpose of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35ECB128" w14:textId="17D07281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FDCF6" w14:textId="77777777" w:rsidR="00FF2FD7" w:rsidRDefault="00FF2FD7">
      <w:r>
        <w:separator/>
      </w:r>
    </w:p>
  </w:endnote>
  <w:endnote w:type="continuationSeparator" w:id="0">
    <w:p w14:paraId="046FF199" w14:textId="77777777" w:rsidR="00FF2FD7" w:rsidRDefault="00FF2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37123" w14:textId="77777777" w:rsidR="00FF2FD7" w:rsidRDefault="00FF2FD7">
      <w:r>
        <w:separator/>
      </w:r>
    </w:p>
  </w:footnote>
  <w:footnote w:type="continuationSeparator" w:id="0">
    <w:p w14:paraId="6785A977" w14:textId="77777777" w:rsidR="00FF2FD7" w:rsidRDefault="00FF2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42"/>
    <w:rsid w:val="000030B3"/>
    <w:rsid w:val="00116612"/>
    <w:rsid w:val="0015030A"/>
    <w:rsid w:val="001E3A73"/>
    <w:rsid w:val="00223100"/>
    <w:rsid w:val="00234E42"/>
    <w:rsid w:val="002A358A"/>
    <w:rsid w:val="0049793B"/>
    <w:rsid w:val="004F6F6B"/>
    <w:rsid w:val="00513423"/>
    <w:rsid w:val="00534400"/>
    <w:rsid w:val="00563800"/>
    <w:rsid w:val="006A55FF"/>
    <w:rsid w:val="00723287"/>
    <w:rsid w:val="007457A7"/>
    <w:rsid w:val="00782239"/>
    <w:rsid w:val="00816C5A"/>
    <w:rsid w:val="00832A9D"/>
    <w:rsid w:val="00917E8F"/>
    <w:rsid w:val="009753CA"/>
    <w:rsid w:val="009E6CC5"/>
    <w:rsid w:val="00AD6B7F"/>
    <w:rsid w:val="00AF45F2"/>
    <w:rsid w:val="00B16F51"/>
    <w:rsid w:val="00B81988"/>
    <w:rsid w:val="00BC3E58"/>
    <w:rsid w:val="00D20F03"/>
    <w:rsid w:val="00DC1C77"/>
    <w:rsid w:val="00DE0B66"/>
    <w:rsid w:val="00E77D26"/>
    <w:rsid w:val="00E970CE"/>
    <w:rsid w:val="00F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7BEC3-5E7B-45DF-AC4B-B341166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2017-12-22T22:17:00Z</dcterms:created>
  <dcterms:modified xsi:type="dcterms:W3CDTF">2017-12-22T22:17:00Z</dcterms:modified>
</cp:coreProperties>
</file>