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9C8C1CF"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1,6</w:t>
      </w:r>
      <w:r w:rsidRPr="00CD56D4">
        <w:rPr>
          <w:bCs/>
        </w:rPr>
        <w:t>, and Marta Gómez-Chiarri</w:t>
      </w:r>
      <w:proofErr w:type="gramStart"/>
      <w:r w:rsidR="009E1851">
        <w:rPr>
          <w:bCs/>
          <w:vertAlign w:val="superscript"/>
        </w:rPr>
        <w:t>2</w:t>
      </w:r>
      <w:r w:rsidRPr="00CD56D4">
        <w:rPr>
          <w:bCs/>
          <w:vertAlign w:val="superscript"/>
        </w:rPr>
        <w:t>,*</w:t>
      </w:r>
      <w:proofErr w:type="gramEnd"/>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5010841B"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120C3580" w:rsidR="00EA3D3C" w:rsidRPr="00947883"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0769EE4C"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 xml:space="preserve">NA sequencing of the V4 or V6 regions followed by taxonomic classification, in order to determine bacterial community structure.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 ha</w:t>
      </w:r>
      <w:r w:rsidR="009E1851">
        <w:rPr>
          <w:color w:val="000000"/>
        </w:rPr>
        <w:t>d</w:t>
      </w:r>
      <w:r>
        <w:rPr>
          <w:color w:val="000000"/>
        </w:rPr>
        <w:t xml:space="preserve"> a syste</w:t>
      </w:r>
      <w:r w:rsidR="009E1851">
        <w:rPr>
          <w:color w:val="000000"/>
        </w:rPr>
        <w:t>m</w:t>
      </w:r>
      <w:r>
        <w:rPr>
          <w:color w:val="000000"/>
        </w:rPr>
        <w:t>ic effect on bacterial community structur</w:t>
      </w:r>
      <w:r w:rsidR="009E1851">
        <w:rPr>
          <w:color w:val="000000"/>
        </w:rPr>
        <w:t>e</w:t>
      </w:r>
      <w:r>
        <w:rPr>
          <w:color w:val="000000"/>
        </w:rPr>
        <w:t>,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3DA01C68"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28CCB280"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w:t>
      </w:r>
      <w:r w:rsidR="00B04252">
        <w:t>s</w:t>
      </w:r>
      <w:r>
        <w:t xml:space="preserve">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2AC33811"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 xml:space="preserve">There are 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 xml:space="preserve">Moreover, bacteria </w:t>
      </w:r>
      <w:r w:rsidR="0011288C">
        <w:t xml:space="preserve">both contribute to and </w:t>
      </w:r>
      <w:r w:rsidR="004209C4">
        <w:t>serve as 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651E252B"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4B14E01"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59E66EE7"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4399F494"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 xml:space="preserve">in </w:t>
      </w:r>
      <w:commentRangeStart w:id="1"/>
      <w:r>
        <w:rPr>
          <w:i/>
          <w:iCs/>
          <w:color w:val="000000"/>
          <w:shd w:val="clear" w:color="auto" w:fill="FFFF00"/>
        </w:rPr>
        <w:t>prep</w:t>
      </w:r>
      <w:commentRangeEnd w:id="1"/>
      <w:r w:rsidR="00623F74">
        <w:rPr>
          <w:rStyle w:val="CommentReference"/>
        </w:rPr>
        <w:commentReference w:id="1"/>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w:t>
      </w:r>
      <w:r w:rsidR="00D91B7E">
        <w:rPr>
          <w:color w:val="000000"/>
        </w:rPr>
        <w:t>s</w:t>
      </w:r>
      <w:r>
        <w:rPr>
          <w:color w:val="000000"/>
        </w:rPr>
        <w:t xml:space="preserve">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at room 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2E52E46E"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r w:rsidR="00600D3D">
        <w:rPr>
          <w:color w:val="000000"/>
        </w:rPr>
        <w:t xml:space="preserve">L </w:t>
      </w:r>
      <w:r>
        <w:rPr>
          <w:color w:val="000000"/>
        </w:rPr>
        <w:t>of seawater, and 10 ml of oyster larvae from each tank (about 150 – 1500 larvae) were placed into a sterile tube. In the laboratory, oyster larvae were collected on a 40 μm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w:t>
      </w:r>
      <w:r w:rsidR="004A53C4">
        <w:rPr>
          <w:color w:val="000000"/>
        </w:rPr>
        <w:t xml:space="preserve"> samples</w:t>
      </w:r>
      <w:r w:rsidR="00BA5075">
        <w:rPr>
          <w:color w:val="000000"/>
        </w:rPr>
        <w:t xml:space="preserve"> w</w:t>
      </w:r>
      <w:r w:rsidR="004A53C4">
        <w:rPr>
          <w:color w:val="000000"/>
        </w:rPr>
        <w:t>ere</w:t>
      </w:r>
      <w:r w:rsidR="00BA5075">
        <w:rPr>
          <w:color w:val="000000"/>
        </w:rPr>
        <w:t xml:space="preserve"> also collected from the inflow</w:t>
      </w:r>
      <w:r w:rsidR="00C068FD" w:rsidRPr="00C068FD">
        <w:rPr>
          <w:color w:val="000000"/>
        </w:rPr>
        <w:t xml:space="preserve"> (water piped directly from the environment into the hatchery) and outflow </w:t>
      </w:r>
      <w:r w:rsidR="00C068FD">
        <w:rPr>
          <w:color w:val="000000"/>
        </w:rPr>
        <w:t>pipes</w:t>
      </w:r>
      <w:r w:rsidR="00C068FD" w:rsidRPr="00C068FD">
        <w:rPr>
          <w:color w:val="000000"/>
        </w:rPr>
        <w:t xml:space="preserve"> (UV-treated and sterilized</w:t>
      </w:r>
      <w:r w:rsidR="00CA3426">
        <w:rPr>
          <w:color w:val="000000"/>
        </w:rPr>
        <w:t xml:space="preserve"> </w:t>
      </w:r>
      <w:r w:rsidR="00CA3426" w:rsidRPr="00C068FD">
        <w:rPr>
          <w:color w:val="000000"/>
        </w:rPr>
        <w:t>inflow water</w:t>
      </w:r>
      <w:r w:rsidR="00C068FD" w:rsidRPr="00C068FD">
        <w:rPr>
          <w:color w:val="000000"/>
        </w:rPr>
        <w:t>)</w:t>
      </w:r>
      <w:r w:rsidR="00C068FD">
        <w:rPr>
          <w:color w:val="000000"/>
        </w:rPr>
        <w:t>.</w:t>
      </w:r>
    </w:p>
    <w:p w14:paraId="3E5B4FC5" w14:textId="77777777" w:rsidR="002B224F" w:rsidRDefault="002B224F" w:rsidP="002B224F">
      <w:pPr>
        <w:pStyle w:val="Heading2"/>
      </w:pPr>
      <w:r w:rsidRPr="002B224F">
        <w:lastRenderedPageBreak/>
        <w:t>DNA Extraction, Amplification, and Sequencing</w:t>
      </w:r>
    </w:p>
    <w:p w14:paraId="3B125C5A" w14:textId="71502A3F"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w:t>
      </w:r>
      <w:r w:rsidR="00067F03">
        <w:t xml:space="preserve"> 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5638EE2B"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915762">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Eren et al., 2013a</w:t>
      </w:r>
      <w:r w:rsidR="006F1906">
        <w:fldChar w:fldCharType="end"/>
      </w:r>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2F48F235"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DD3FC4">
        <w:rPr>
          <w:color w:val="000000"/>
        </w:rPr>
        <w:t xml:space="preserve">R statistical computing environment with the </w:t>
      </w:r>
      <w:r w:rsidRPr="00E301ED">
        <w:rPr>
          <w:i/>
          <w:iCs/>
          <w:color w:val="000000"/>
        </w:rPr>
        <w:t>vegan</w:t>
      </w:r>
      <w:r w:rsidRPr="00DD3FC4">
        <w:rPr>
          <w:color w:val="000000"/>
        </w:rPr>
        <w:t xml:space="preserve"> and </w:t>
      </w:r>
      <w:r w:rsidRPr="00E301ED">
        <w:rPr>
          <w:i/>
          <w:iCs/>
          <w:color w:val="000000"/>
        </w:rPr>
        <w:t>phyloseq</w:t>
      </w:r>
      <w:r w:rsidRPr="00DD3FC4">
        <w:rPr>
          <w:color w:val="000000"/>
        </w:rPr>
        <w:t xml:space="preserve"> packages. Simpson’s diversity values were calculated for each sample at the order level using the </w:t>
      </w:r>
      <w:r w:rsidRPr="00E301ED">
        <w:rPr>
          <w:i/>
          <w:iCs/>
          <w:color w:val="000000"/>
        </w:rPr>
        <w:t>vegan</w:t>
      </w:r>
      <w:r w:rsidRPr="00DD3FC4">
        <w:rPr>
          <w:color w:val="000000"/>
        </w:rPr>
        <w:t xml:space="preserve"> package Version 2.4-1</w:t>
      </w:r>
      <w:r w:rsidR="00DB38FD" w:rsidRPr="00DD3FC4">
        <w:rPr>
          <w:color w:val="000000"/>
        </w:rPr>
        <w:t xml:space="preserve"> </w:t>
      </w:r>
      <w:r w:rsidR="00B116F8" w:rsidRPr="00DD3FC4">
        <w:fldChar w:fldCharType="begin" w:fldLock="1"/>
      </w:r>
      <w:r w:rsidR="005433E4" w:rsidRPr="00DD3FC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rsidRPr="00DD3FC4">
        <w:fldChar w:fldCharType="separate"/>
      </w:r>
      <w:r w:rsidR="00B116F8" w:rsidRPr="00DD3FC4">
        <w:rPr>
          <w:noProof/>
        </w:rPr>
        <w:t>(Dixon, 2003)</w:t>
      </w:r>
      <w:r w:rsidR="00B116F8" w:rsidRPr="00DD3FC4">
        <w:fldChar w:fldCharType="end"/>
      </w:r>
      <w:r w:rsidR="00B116F8" w:rsidRPr="00DD3FC4">
        <w:t xml:space="preserve">. </w:t>
      </w:r>
      <w:r w:rsidRPr="00DD3FC4">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5F001E54"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328E053A"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 24 tank biofilm swab, and 21 pooled larvae samples from three hatchery trials. There was an average of 208,087 reads for each of the 87 samples, ranging between 961-1,117,380 depending on the sequencing method and sample type (Figure 1, top).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swab</w:t>
      </w:r>
      <w:r w:rsidR="002068E1">
        <w:rPr>
          <w:rFonts w:eastAsia="Times New Roman" w:cs="Times New Roman"/>
          <w:color w:val="000000"/>
          <w:szCs w:val="24"/>
        </w:rPr>
        <w:t xml:space="preserve"> samples</w:t>
      </w:r>
      <w:r w:rsidR="00F10E07">
        <w:rPr>
          <w:rFonts w:eastAsia="Times New Roman" w:cs="Times New Roman"/>
          <w:color w:val="000000"/>
          <w:szCs w:val="24"/>
        </w:rPr>
        <w:t xml:space="preserve"> was significantly higher 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Pr="004E749C">
        <w:rPr>
          <w:rFonts w:eastAsia="Times New Roman" w:cs="Times New Roman"/>
          <w:color w:val="000000"/>
          <w:szCs w:val="24"/>
        </w:rPr>
        <w:t xml:space="preserve"> (p&lt;0.001</w:t>
      </w:r>
      <w:r w:rsidR="000204B7">
        <w:rPr>
          <w:rFonts w:eastAsia="Times New Roman" w:cs="Times New Roman"/>
          <w:color w:val="000000"/>
          <w:szCs w:val="24"/>
        </w:rPr>
        <w:t>, Table S1</w:t>
      </w:r>
      <w:r w:rsidRPr="004E749C">
        <w:rPr>
          <w:rFonts w:eastAsia="Times New Roman" w:cs="Times New Roman"/>
          <w:color w:val="000000"/>
          <w:szCs w:val="24"/>
        </w:rPr>
        <w:t xml:space="preserve">).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00DB36FB" w:rsidDel="00DB36FB">
        <w:rPr>
          <w:rStyle w:val="CommentReference"/>
        </w:rPr>
        <w:t xml:space="preserve"> </w:t>
      </w:r>
    </w:p>
    <w:p w14:paraId="2D5C47B1" w14:textId="459D3FF1"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AF34E4">
        <w:rPr>
          <w:rFonts w:eastAsia="Times New Roman" w:cs="Times New Roman"/>
          <w:color w:val="000000"/>
          <w:szCs w:val="24"/>
        </w:rPr>
        <w:t xml:space="preserve"> source</w:t>
      </w:r>
      <w:r w:rsidR="00401ED1">
        <w:rPr>
          <w:rFonts w:eastAsia="Times New Roman" w:cs="Times New Roman"/>
          <w:color w:val="000000"/>
          <w:szCs w:val="24"/>
        </w:rPr>
        <w:t xml:space="preserve"> (Table 1)</w:t>
      </w:r>
      <w:r w:rsidRPr="004E749C">
        <w:rPr>
          <w:rFonts w:eastAsia="Times New Roman" w:cs="Times New Roman"/>
          <w:color w:val="000000"/>
          <w:szCs w:val="24"/>
        </w:rPr>
        <w:t xml:space="preserve">. There was also high variability among replicate samples from each timepoint and treatment (Figure 2, Figure S2). However, significant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2964F8">
        <w:rPr>
          <w:rFonts w:eastAsia="Times New Roman" w:cs="Times New Roman"/>
          <w:color w:val="000000"/>
          <w:szCs w:val="24"/>
        </w:rPr>
        <w:t>s</w:t>
      </w:r>
      <w:r w:rsidRPr="004E749C">
        <w:rPr>
          <w:rFonts w:eastAsia="Times New Roman" w:cs="Times New Roman"/>
          <w:color w:val="000000"/>
          <w:szCs w:val="24"/>
        </w:rPr>
        <w:t xml:space="preserve"> </w:t>
      </w:r>
      <w:r w:rsidR="00CE4EC1">
        <w:rPr>
          <w:rFonts w:eastAsia="Times New Roman" w:cs="Times New Roman"/>
          <w:color w:val="000000"/>
          <w:szCs w:val="24"/>
        </w:rPr>
        <w:t xml:space="preserve">in diversity </w:t>
      </w:r>
      <w:r w:rsidRPr="004E749C">
        <w:rPr>
          <w:rFonts w:eastAsia="Times New Roman" w:cs="Times New Roman"/>
          <w:color w:val="000000"/>
          <w:szCs w:val="24"/>
        </w:rPr>
        <w:t xml:space="preserve">between control and treated samples at each time-point and sample type were detected (p=0.52). </w:t>
      </w:r>
    </w:p>
    <w:p w14:paraId="48372525" w14:textId="4EDA80DF" w:rsidR="004E749C" w:rsidRPr="004E749C" w:rsidRDefault="004E749C" w:rsidP="004E749C">
      <w:pPr>
        <w:rPr>
          <w:rFonts w:eastAsia="Times New Roman" w:cs="Times New Roman"/>
          <w:szCs w:val="24"/>
        </w:rPr>
      </w:pPr>
      <w:r w:rsidRPr="004E749C">
        <w:rPr>
          <w:rFonts w:eastAsia="Times New Roman" w:cs="Times New Roman"/>
          <w:color w:val="000000"/>
          <w:szCs w:val="24"/>
        </w:rPr>
        <w:lastRenderedPageBreak/>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w:t>
      </w:r>
      <w:r w:rsidR="00BA5075">
        <w:rPr>
          <w:rFonts w:eastAsia="Times New Roman" w:cs="Times New Roman"/>
          <w:color w:val="000000"/>
          <w:szCs w:val="24"/>
        </w:rPr>
        <w:t>Moreover, the bacterial community in samples of inflow and outflow seawater collected on days 5, 8, and 12 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08DF5C13"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 xml:space="preserve">on </w:t>
      </w:r>
      <w:r w:rsidR="00307C9A">
        <w:rPr>
          <w:rFonts w:eastAsia="Times New Roman" w:cs="Times New Roman"/>
          <w:color w:val="000000"/>
          <w:szCs w:val="24"/>
        </w:rPr>
        <w:t>T</w:t>
      </w:r>
      <w:r w:rsidR="00093207">
        <w:rPr>
          <w:rFonts w:eastAsia="Times New Roman" w:cs="Times New Roman"/>
          <w:color w:val="000000"/>
          <w:szCs w:val="24"/>
        </w:rPr>
        <w:t xml:space="preserve">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4a,</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A67735">
        <w:rPr>
          <w:rFonts w:eastAsia="Times New Roman" w:cs="Times New Roman"/>
          <w:color w:val="000000"/>
          <w:szCs w:val="24"/>
        </w:rPr>
        <w:t>s</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(p&lt;0.01</w:t>
      </w:r>
      <w:r w:rsidR="00B55B9E">
        <w:rPr>
          <w:rFonts w:eastAsia="Times New Roman" w:cs="Times New Roman"/>
          <w:color w:val="000000"/>
          <w:szCs w:val="24"/>
        </w:rPr>
        <w:t>, Figure 4b, Table S7</w:t>
      </w:r>
      <w:r w:rsidRPr="00FF7D6F">
        <w:rPr>
          <w:rFonts w:eastAsia="Times New Roman" w:cs="Times New Roman"/>
          <w:color w:val="000000"/>
          <w:szCs w:val="24"/>
        </w:rPr>
        <w:t xml:space="preserve">).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w:t>
      </w:r>
      <w:r w:rsidR="00A67735">
        <w:rPr>
          <w:rFonts w:eastAsia="Times New Roman" w:cs="Times New Roman"/>
          <w:color w:val="000000"/>
          <w:szCs w:val="24"/>
        </w:rPr>
        <w:t>depending on the t</w:t>
      </w:r>
      <w:r w:rsidRPr="00FF7D6F">
        <w:rPr>
          <w:rFonts w:eastAsia="Times New Roman" w:cs="Times New Roman"/>
          <w:color w:val="000000"/>
          <w:szCs w:val="24"/>
        </w:rPr>
        <w:t>rial (</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4b,</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71DE0238" w:rsidR="00FF7D6F" w:rsidRPr="00413789" w:rsidRDefault="00FF7D6F" w:rsidP="00E8570B">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r w:rsidR="00E8570B">
        <w:rPr>
          <w:rFonts w:eastAsia="Times New Roman" w:cs="Times New Roman"/>
          <w:color w:val="000000"/>
          <w:szCs w:val="24"/>
        </w:rPr>
        <w:t xml:space="preserve">Probiotic treatment led to a significant </w:t>
      </w:r>
      <w:proofErr w:type="spellStart"/>
      <w:r w:rsidR="00E8570B">
        <w:rPr>
          <w:rFonts w:eastAsia="Times New Roman" w:cs="Times New Roman"/>
          <w:color w:val="000000"/>
          <w:szCs w:val="24"/>
        </w:rPr>
        <w:t>increase</w:t>
      </w:r>
      <w:r w:rsidRPr="00FF7D6F">
        <w:rPr>
          <w:rFonts w:eastAsia="Times New Roman" w:cs="Times New Roman"/>
          <w:color w:val="000000"/>
          <w:szCs w:val="24"/>
        </w:rPr>
        <w:t>a</w:t>
      </w:r>
      <w:proofErr w:type="spellEnd"/>
      <w:r w:rsidRPr="00FF7D6F">
        <w:rPr>
          <w:rFonts w:eastAsia="Times New Roman" w:cs="Times New Roman"/>
          <w:color w:val="000000"/>
          <w:szCs w:val="24"/>
        </w:rPr>
        <w:t xml:space="preserve"> significant effect of treatment was observed in vibrio diversity (as measured using the Simpson’s Index of diversity) in water samples collected on day 12 in Trial 1 (</w:t>
      </w:r>
      <w:r w:rsidR="004F1C1D">
        <w:rPr>
          <w:rFonts w:eastAsia="Times New Roman" w:cs="Times New Roman"/>
          <w:color w:val="000000"/>
          <w:szCs w:val="24"/>
        </w:rPr>
        <w:t xml:space="preserve">p&lt; 0.05; </w:t>
      </w:r>
      <w:r w:rsidRPr="00FF7D6F">
        <w:rPr>
          <w:rFonts w:eastAsia="Times New Roman" w:cs="Times New Roman"/>
          <w:color w:val="000000"/>
          <w:szCs w:val="24"/>
        </w:rPr>
        <w:t>Figure 5a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w:t>
      </w:r>
      <w:r w:rsidR="00090F42">
        <w:rPr>
          <w:rFonts w:eastAsia="Times New Roman" w:cs="Times New Roman"/>
          <w:color w:val="000000"/>
          <w:szCs w:val="24"/>
        </w:rPr>
        <w:t xml:space="preserve">or diversity </w:t>
      </w:r>
      <w:r w:rsidR="000E1786" w:rsidRPr="00FF7D6F">
        <w:rPr>
          <w:rFonts w:eastAsia="Times New Roman" w:cs="Times New Roman"/>
          <w:color w:val="000000"/>
          <w:szCs w:val="24"/>
        </w:rPr>
        <w:t xml:space="preserve">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5b, Table S9)</w:t>
      </w:r>
      <w:r w:rsidR="000E1786" w:rsidRPr="00FF7D6F">
        <w:rPr>
          <w:rFonts w:eastAsia="Times New Roman" w:cs="Times New Roman"/>
          <w:color w:val="000000"/>
          <w:szCs w:val="24"/>
        </w:rPr>
        <w:t xml:space="preserve">. </w:t>
      </w:r>
      <w:r w:rsidR="00A50B97">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When considering all time points,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diversity</w:t>
      </w:r>
      <w:r w:rsidRPr="00413789">
        <w:rPr>
          <w:rFonts w:eastAsia="Times New Roman" w:cs="Times New Roman"/>
          <w:color w:val="000000"/>
          <w:szCs w:val="24"/>
        </w:rPr>
        <w:t xml:space="preserve"> swab and water samples (p&lt;0.001)</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p>
    <w:p w14:paraId="2F757B00" w14:textId="1F726589"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bookmarkStart w:id="2" w:name="_GoBack"/>
      <w:bookmarkEnd w:id="2"/>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(only water samples were</w:t>
      </w:r>
      <w:r w:rsidRPr="00FF7D6F">
        <w:rPr>
          <w:rFonts w:eastAsia="Times New Roman" w:cs="Times New Roman"/>
          <w:color w:val="000000"/>
          <w:szCs w:val="24"/>
        </w:rPr>
        <w:t xml:space="preserv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Pr>
          <w:rFonts w:eastAsia="Times New Roman" w:cs="Times New Roman"/>
          <w:i/>
          <w:color w:val="000000"/>
          <w:szCs w:val="24"/>
        </w:rPr>
        <w:t>V</w:t>
      </w:r>
      <w:r w:rsidR="00C7270E" w:rsidRPr="00500865">
        <w:rPr>
          <w:rFonts w:eastAsia="Times New Roman" w:cs="Times New Roman"/>
          <w:i/>
          <w:color w:val="000000"/>
          <w:szCs w:val="24"/>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2E0CB6">
        <w:rPr>
          <w:rFonts w:eastAsia="Times New Roman" w:cs="Times New Roman"/>
          <w:color w:val="000000"/>
          <w:szCs w:val="24"/>
        </w:rPr>
        <w:t>%</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w:t>
      </w:r>
      <w:r w:rsidR="007822D3">
        <w:rPr>
          <w:rFonts w:eastAsia="Times New Roman" w:cs="Times New Roman"/>
          <w:color w:val="000000"/>
          <w:szCs w:val="24"/>
        </w:rPr>
        <w:lastRenderedPageBreak/>
        <w:t xml:space="preserve">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in probiotic tanks, 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r w:rsidRPr="00FF7D6F">
        <w:rPr>
          <w:rFonts w:eastAsia="Times New Roman" w:cs="Times New Roman"/>
          <w:color w:val="000000"/>
          <w:szCs w:val="24"/>
        </w:rPr>
        <w:t xml:space="preserve">. </w:t>
      </w:r>
    </w:p>
    <w:p w14:paraId="47941601" w14:textId="20DC9F40" w:rsidR="001444D0" w:rsidRDefault="00A711D7" w:rsidP="0038579E">
      <w:pPr>
        <w:pStyle w:val="Heading2"/>
      </w:pPr>
      <w:r>
        <w:t>Bacterial</w:t>
      </w:r>
      <w:r w:rsidR="0038579E">
        <w:t xml:space="preserve"> Relationships with Co-Occurrence Analysis</w:t>
      </w:r>
    </w:p>
    <w:p w14:paraId="445384FC" w14:textId="03003AC3"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changed in similar fashion, but had different occurrence ratios between control and treatment samples. Orders that were more abundant in the control samples than in treatment samples include</w:t>
      </w:r>
      <w:r w:rsidR="001F764E">
        <w:rPr>
          <w:color w:val="000000"/>
        </w:rPr>
        <w:t>d</w:t>
      </w:r>
      <w:r>
        <w:rPr>
          <w:color w:val="000000"/>
        </w:rPr>
        <w:t xml:space="preserv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These nodes</w:t>
      </w:r>
      <w:r w:rsidR="00CE4B32">
        <w:rPr>
          <w:color w:val="000000"/>
        </w:rPr>
        <w:t xml:space="preserve"> were</w:t>
      </w:r>
      <w:r>
        <w:rPr>
          <w:color w:val="000000"/>
        </w:rPr>
        <w:t xml:space="preserve"> scattered throughout the network and did not share direct edges, but </w:t>
      </w:r>
      <w:r w:rsidR="00275AE6">
        <w:rPr>
          <w:color w:val="000000"/>
        </w:rPr>
        <w:t>were</w:t>
      </w:r>
      <w:r>
        <w:rPr>
          <w:color w:val="000000"/>
        </w:rPr>
        <w:t xml:space="preserve"> within 3-5 edges of each other.</w:t>
      </w:r>
    </w:p>
    <w:p w14:paraId="532193EF" w14:textId="5FD22DA9"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 and was most abundant in the treated samples,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428D1738"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 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12765D">
        <w:rPr>
          <w:color w:val="000000"/>
        </w:rPr>
        <w:t xml:space="preserve"> </w:t>
      </w:r>
      <w:r w:rsidR="009160DF">
        <w:rPr>
          <w:color w:val="000000"/>
        </w:rPr>
        <w:t xml:space="preserve">This study </w:t>
      </w:r>
      <w:r w:rsidR="00F01868">
        <w:rPr>
          <w:color w:val="000000"/>
        </w:rPr>
        <w:t>characterized</w:t>
      </w:r>
      <w:r w:rsidR="009160DF">
        <w:rPr>
          <w:color w:val="000000"/>
        </w:rPr>
        <w:t xml:space="preserve">: a) changes in the microbial community in an oyster hatchery through the rearing process; and b) the effect of probiotic treatment on that community.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that promotes the growth of potential pathogens to one that inhibits</w:t>
      </w:r>
      <w:r w:rsidR="00C94653">
        <w:rPr>
          <w:color w:val="000000"/>
        </w:rPr>
        <w:t xml:space="preserve"> </w:t>
      </w:r>
      <w:r w:rsidR="00BB073F">
        <w:rPr>
          <w:color w:val="000000"/>
        </w:rPr>
        <w:t>it</w:t>
      </w:r>
      <w:r w:rsidR="00C94653">
        <w:rPr>
          <w:color w:val="000000"/>
        </w:rPr>
        <w:t>.</w:t>
      </w:r>
      <w:r w:rsidR="00712974">
        <w:rPr>
          <w:color w:val="000000"/>
        </w:rPr>
        <w:t xml:space="preserve"> </w:t>
      </w:r>
    </w:p>
    <w:p w14:paraId="04BE12C8" w14:textId="77777777" w:rsidR="00BF7A1E" w:rsidRDefault="00BF7A1E" w:rsidP="00BF7A1E">
      <w:pPr>
        <w:rPr>
          <w:color w:val="000000"/>
        </w:rPr>
      </w:pPr>
      <w:r>
        <w:rPr>
          <w:color w:val="000000"/>
        </w:rPr>
        <w:t xml:space="preserve">Our results also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(King et al., 2012; 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306D3306" w14:textId="7BF0B945" w:rsidR="00F05E88" w:rsidRDefault="00BF7A1E" w:rsidP="000628D5">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tank biofilm</w:t>
      </w:r>
      <w:r w:rsidR="00DB36FB">
        <w:rPr>
          <w:color w:val="000000"/>
        </w:rPr>
        <w:t>s</w:t>
      </w:r>
      <w:r w:rsidR="00F80D7B">
        <w:rPr>
          <w:color w:val="000000"/>
        </w:rPr>
        <w:t xml:space="preserve"> (swabs), and </w:t>
      </w:r>
      <w:r w:rsidR="00DB36FB">
        <w:rPr>
          <w:color w:val="000000"/>
        </w:rPr>
        <w:t xml:space="preserve">the </w:t>
      </w:r>
      <w:r w:rsidR="00F80D7B">
        <w:rPr>
          <w:color w:val="000000"/>
        </w:rPr>
        <w:lastRenderedPageBreak/>
        <w:t>oyster larvae</w:t>
      </w:r>
      <w:r w:rsidR="000628D5">
        <w:rPr>
          <w:color w:val="000000"/>
        </w:rPr>
        <w:t xml:space="preserve">. In particular, oyster larvae selected for specific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Additionally, the microbiome </w:t>
      </w:r>
      <w:r w:rsidR="00F80D7B">
        <w:rPr>
          <w:color w:val="000000"/>
        </w:rPr>
        <w:t xml:space="preserve">of the rearing water </w:t>
      </w:r>
      <w:r w:rsidR="000628D5">
        <w:rPr>
          <w:color w:val="000000"/>
        </w:rPr>
        <w:t xml:space="preserve">changed significantly over time, specifically with an increase in </w:t>
      </w:r>
      <w:r w:rsidR="000628D5">
        <w:rPr>
          <w:i/>
          <w:iCs/>
          <w:color w:val="000000"/>
        </w:rPr>
        <w:t>Actinobacteria</w:t>
      </w:r>
      <w:r w:rsidR="000628D5">
        <w:rPr>
          <w:color w:val="000000"/>
        </w:rPr>
        <w:t xml:space="preserve"> and a decrease in </w:t>
      </w:r>
      <w:r w:rsidR="000628D5">
        <w:rPr>
          <w:i/>
          <w:iCs/>
          <w:color w:val="000000"/>
        </w:rPr>
        <w:t>Bacteroidetes</w:t>
      </w:r>
      <w:r w:rsidR="000628D5">
        <w:rPr>
          <w:color w:val="000000"/>
        </w:rPr>
        <w:t>.</w:t>
      </w:r>
      <w:r w:rsidR="00F80D7B">
        <w:rPr>
          <w:color w:val="000000"/>
        </w:rPr>
        <w:t xml:space="preserve"> </w:t>
      </w:r>
      <w:r w:rsidR="000628D5">
        <w:rPr>
          <w:i/>
          <w:iCs/>
          <w:color w:val="000000"/>
        </w:rPr>
        <w:t>Proteobacteria</w:t>
      </w:r>
      <w:r w:rsidR="000628D5">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D83A8E">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000628D5" w:rsidRPr="000628D5">
        <w:rPr>
          <w:color w:val="000000"/>
        </w:rPr>
        <w:t xml:space="preserve">The other </w:t>
      </w:r>
      <w:r w:rsidR="00FE3D14">
        <w:rPr>
          <w:color w:val="000000"/>
        </w:rPr>
        <w:t xml:space="preserve">dominant </w:t>
      </w:r>
      <w:r w:rsidR="000628D5" w:rsidRPr="000628D5">
        <w:rPr>
          <w:color w:val="000000"/>
        </w:rPr>
        <w:t xml:space="preserve">phyla, </w:t>
      </w:r>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r w:rsidR="000628D5" w:rsidRPr="000628D5">
        <w:rPr>
          <w:color w:val="000000"/>
        </w:rPr>
        <w:t>, showed variation in relative abundances based on sample type, day, and treatment.</w:t>
      </w:r>
    </w:p>
    <w:p w14:paraId="684B3F39" w14:textId="4A53C372" w:rsidR="00F05E88" w:rsidRDefault="000628D5" w:rsidP="00F05E88">
      <w:r>
        <w:rPr>
          <w:color w:val="000000"/>
        </w:rPr>
        <w:t xml:space="preserve">Lower diversity indices in the larvae and tank biofilms </w:t>
      </w:r>
      <w:r w:rsidR="00BF7A1E">
        <w:rPr>
          <w:color w:val="000000"/>
        </w:rPr>
        <w:t xml:space="preserve">(swabs) </w:t>
      </w:r>
      <w:r>
        <w:rPr>
          <w:color w:val="000000"/>
        </w:rPr>
        <w:t xml:space="preserve">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It is likely that the oysters select their commensal bacteria from a diverse pool of bacteria in the rearing water and microalgal feed. This hypothesis is consistent with outcomes of past studies that </w:t>
      </w:r>
      <w:r w:rsidR="000E0E22">
        <w:rPr>
          <w:color w:val="000000"/>
        </w:rPr>
        <w:t>demonstrate</w:t>
      </w:r>
      <w:r>
        <w:rPr>
          <w:color w:val="000000"/>
        </w:rPr>
        <w:t xml:space="preserve"> interactions 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Pr>
          <w:color w:val="000000"/>
        </w:rPr>
        <w:t>.  Bacteria are an essential component of aquaculture nutrition, as a source of</w:t>
      </w:r>
      <w:r w:rsidR="00E1022A">
        <w:rPr>
          <w:color w:val="000000"/>
        </w:rPr>
        <w:t xml:space="preserve"> both</w:t>
      </w:r>
      <w:r>
        <w:rPr>
          <w:color w:val="000000"/>
        </w:rPr>
        <w:t xml:space="preserve"> 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w:t>
      </w:r>
      <w:r w:rsidR="00DB36FB">
        <w:rPr>
          <w:color w:val="000000"/>
        </w:rPr>
        <w:t>e</w:t>
      </w:r>
      <w:r w:rsidR="00E11044">
        <w:rPr>
          <w:color w:val="000000"/>
        </w:rPr>
        <w:t xml:space="preserve">astern </w:t>
      </w:r>
      <w:r>
        <w:rPr>
          <w:color w:val="000000"/>
        </w:rPr>
        <w:t xml:space="preserve">oysters based on size, </w:t>
      </w:r>
      <w:r w:rsidR="005A3731">
        <w:rPr>
          <w:color w:val="000000"/>
        </w:rPr>
        <w:t>nutrient availability</w:t>
      </w:r>
      <w:r w:rsidR="00FA5693">
        <w:rPr>
          <w:color w:val="000000"/>
        </w:rPr>
        <w:t xml:space="preserve">, </w:t>
      </w:r>
      <w:r w:rsidR="002B6BBB">
        <w:rPr>
          <w:color w:val="000000"/>
        </w:rPr>
        <w:t>metabolites</w:t>
      </w:r>
      <w:r>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Pr>
          <w:color w:val="000000"/>
        </w:rPr>
        <w:t>), this indicates that temporal changes in microbial communities in the tanks may be driven by developmental changes in the oyster larvae, since it is unlikely that these major changes are due to transient changes in the microbial composition of incoming water</w:t>
      </w:r>
      <w:r w:rsidR="00DB36FB">
        <w:rPr>
          <w:color w:val="000000"/>
        </w:rPr>
        <w:t xml:space="preserve"> (as observed in Trial 3)</w:t>
      </w:r>
      <w:r>
        <w:rPr>
          <w:color w:val="000000"/>
        </w:rPr>
        <w:t>. More research is needed to evaluate the role of oyster-microbial interactions on the dynamics of microbial communities in oyster tanks.</w:t>
      </w:r>
    </w:p>
    <w:p w14:paraId="29C569F1" w14:textId="184597E8"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w:t>
      </w:r>
      <w:r w:rsidR="00683399">
        <w:rPr>
          <w:color w:val="000000"/>
        </w:rPr>
        <w:t>comprehensive</w:t>
      </w:r>
      <w:r>
        <w:rPr>
          <w:color w:val="000000"/>
        </w:rPr>
        <w:t xml:space="preserve"> effect on bacterial diversity or structure in any of the sample types,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suggesting that the probiotic accumulates in larval oysters through time.</w:t>
      </w:r>
      <w:r>
        <w:rPr>
          <w:color w:val="000000"/>
        </w:rPr>
        <w:t xml:space="preserve"> 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r w:rsidR="006704F8">
        <w:t>No such studies have been previously conducted in bivalves.</w:t>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trials.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w:t>
      </w:r>
      <w:r w:rsidR="00F05E88">
        <w:lastRenderedPageBreak/>
        <w:t xml:space="preserve">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4D7CA8C3"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FF171B" w:rsidRPr="00E4502D">
        <w:rPr>
          <w:color w:val="000000"/>
        </w:rPr>
        <w:t>vibrios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w:t>
      </w:r>
      <w:r w:rsidR="0066767A">
        <w:rPr>
          <w:color w:val="000000"/>
        </w:rPr>
        <w:t>R</w:t>
      </w:r>
      <w:r w:rsidR="00E944B9">
        <w:rPr>
          <w:color w:val="000000"/>
        </w:rPr>
        <w:t>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123436">
        <w:rPr>
          <w:color w:val="000000"/>
        </w:rPr>
        <w:t>vibrios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AC341D2"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01596AAB" w14:textId="740BB4B9" w:rsidR="0089552D" w:rsidRDefault="00BC24B8" w:rsidP="005A4881">
      <w:pPr>
        <w:rPr>
          <w:color w:val="000000"/>
        </w:rPr>
      </w:pPr>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Pr="005324C0">
        <w:rPr>
          <w:iCs/>
          <w:color w:val="000000"/>
        </w:rPr>
        <w:t>vibrios</w:t>
      </w:r>
      <w:r>
        <w:rPr>
          <w:i/>
          <w:iCs/>
          <w:color w:val="000000"/>
        </w:rPr>
        <w:t xml:space="preserve"> </w:t>
      </w:r>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w:t>
      </w:r>
      <w:r w:rsidR="000C3E1B">
        <w:rPr>
          <w:color w:val="000000"/>
        </w:rPr>
        <w:lastRenderedPageBreak/>
        <w:t xml:space="preserve">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entire 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r w:rsidR="0003008B" w:rsidRPr="008205B2">
        <w:t xml:space="preserve">. 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59D2F070"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w:t>
      </w:r>
      <w:r w:rsidR="009E7E1F">
        <w:t xml:space="preserve"> biofilms</w:t>
      </w:r>
      <w:r w:rsidR="00643BA1">
        <w:t xml:space="preserve">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0D4A10B1" w:rsidR="00045678" w:rsidRDefault="00FB3D7C" w:rsidP="00265660">
      <w:r>
        <w:t>R</w:t>
      </w:r>
      <w:r w:rsidR="00051C73">
        <w:t>J</w:t>
      </w:r>
      <w:r>
        <w:t xml:space="preserve">S, </w:t>
      </w:r>
      <w:r w:rsidR="00FE63B2">
        <w:t xml:space="preserve">SS, </w:t>
      </w:r>
      <w:r w:rsidR="00F14352">
        <w:t>D</w:t>
      </w:r>
      <w:r w:rsidR="00051C73">
        <w:t>R</w:t>
      </w:r>
      <w:r w:rsidR="00F14352">
        <w:t>N, D</w:t>
      </w:r>
      <w:r w:rsidR="00051C73">
        <w:t>C</w:t>
      </w:r>
      <w:r w:rsidR="00F14352">
        <w:t>R,</w:t>
      </w:r>
      <w:r w:rsidR="00F14352">
        <w:t xml:space="preserve"> A</w:t>
      </w:r>
      <w:r w:rsidR="00051C73">
        <w:t>F</w:t>
      </w:r>
      <w:r w:rsidR="00F14352">
        <w:t xml:space="preserve">P,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5ECEEB29"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4405CD">
        <w:rPr>
          <w:szCs w:val="24"/>
          <w:shd w:val="clear" w:color="auto" w:fill="FFFFFF"/>
        </w:rPr>
        <w:t xml:space="preserve"> and</w:t>
      </w:r>
      <w:r w:rsidR="00CF3FFD" w:rsidRPr="00CF3FFD">
        <w:rPr>
          <w:szCs w:val="24"/>
          <w:shd w:val="clear" w:color="auto" w:fill="FFFFFF"/>
        </w:rPr>
        <w:t xml:space="preserve"> USDA NRAC 2258-Z55106</w:t>
      </w:r>
      <w:r w:rsidR="00CF3FFD">
        <w:rPr>
          <w:szCs w:val="24"/>
          <w:shd w:val="clear" w:color="auto" w:fill="FFFFFF"/>
        </w:rPr>
        <w:t xml:space="preserve"> to</w:t>
      </w:r>
      <w:r w:rsidR="004405CD">
        <w:rPr>
          <w:szCs w:val="24"/>
          <w:shd w:val="clear" w:color="auto" w:fill="FFFFFF"/>
        </w:rPr>
        <w:t xml:space="preserve"> DR, MCG, and DN</w:t>
      </w:r>
      <w:r w:rsidR="004405CD">
        <w:rPr>
          <w:szCs w:val="24"/>
          <w:shd w:val="clear" w:color="auto" w:fill="FFFFFF"/>
        </w:rPr>
        <w:t xml:space="preserve">. </w:t>
      </w:r>
      <w:r w:rsidR="004405CD" w:rsidRPr="004405CD">
        <w:rPr>
          <w:szCs w:val="24"/>
          <w:shd w:val="clear" w:color="auto" w:fill="FFFFFF"/>
        </w:rPr>
        <w:t>This material is based upon work conducted at a Rhode Island NSF EPSCoR research facility, the Genomics and Sequencing Center, supported in part by the National Science Foundation EPSCoR Cooperative Agreements 0554548, EPS-1004057, and OIA-1655221.</w:t>
      </w:r>
      <w:r w:rsidR="004405CD" w:rsidRPr="004405CD">
        <w:rPr>
          <w:szCs w:val="24"/>
          <w:shd w:val="clear" w:color="auto" w:fill="FFFFFF"/>
        </w:rPr>
        <w:t xml:space="preserve"> </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71AB8D96" w14:textId="5888241F" w:rsidR="008F7301" w:rsidRPr="008F7301" w:rsidRDefault="002937BF" w:rsidP="008F7301">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F7301" w:rsidRPr="008F7301">
        <w:rPr>
          <w:rFonts w:cs="Times New Roman"/>
          <w:noProof/>
          <w:szCs w:val="24"/>
        </w:rPr>
        <w:t xml:space="preserve">Andrews, S. (2010). FASTQC. A quality control tool for high throughput sequence data. 2010. </w:t>
      </w:r>
      <w:r w:rsidR="008F7301" w:rsidRPr="008F7301">
        <w:rPr>
          <w:rFonts w:cs="Times New Roman"/>
          <w:i/>
          <w:iCs/>
          <w:noProof/>
          <w:szCs w:val="24"/>
        </w:rPr>
        <w:t>http://www.bioinformatics.babraham.ac.uk/projects/fastqc/</w:t>
      </w:r>
      <w:r w:rsidR="008F7301" w:rsidRPr="008F7301">
        <w:rPr>
          <w:rFonts w:cs="Times New Roman"/>
          <w:noProof/>
          <w:szCs w:val="24"/>
        </w:rPr>
        <w:t>.</w:t>
      </w:r>
    </w:p>
    <w:p w14:paraId="5D639B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Asmani, K., Petton, B., Le Grand, J., Mounier, J., Robert, R., and Nicolas, J. L. (2016). Establishment of microbiota in larval culture of Pacific oyster, </w:t>
      </w:r>
      <w:r w:rsidRPr="00A9503C">
        <w:rPr>
          <w:rFonts w:cs="Times New Roman"/>
          <w:i/>
          <w:noProof/>
          <w:szCs w:val="24"/>
        </w:rPr>
        <w:t>Crassostrea gigas</w:t>
      </w:r>
      <w:r w:rsidRPr="008F7301">
        <w:rPr>
          <w:rFonts w:cs="Times New Roman"/>
          <w:noProof/>
          <w:szCs w:val="24"/>
        </w:rPr>
        <w:t xml:space="preserve">. </w:t>
      </w:r>
      <w:r w:rsidRPr="008F7301">
        <w:rPr>
          <w:rFonts w:cs="Times New Roman"/>
          <w:i/>
          <w:iCs/>
          <w:noProof/>
          <w:szCs w:val="24"/>
        </w:rPr>
        <w:t>Aquaculture</w:t>
      </w:r>
      <w:r w:rsidRPr="008F7301">
        <w:rPr>
          <w:rFonts w:cs="Times New Roman"/>
          <w:noProof/>
          <w:szCs w:val="24"/>
        </w:rPr>
        <w:t xml:space="preserve"> 464, 434–444. doi:10.1016/j.aquaculture.2016.07.020.</w:t>
      </w:r>
    </w:p>
    <w:p w14:paraId="51486F9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Baldwin, B. S. (1995). Selective particle ingestion by oyster larvae (</w:t>
      </w:r>
      <w:r w:rsidRPr="00A9503C">
        <w:rPr>
          <w:rFonts w:cs="Times New Roman"/>
          <w:i/>
          <w:noProof/>
          <w:szCs w:val="24"/>
        </w:rPr>
        <w:t>Crassostrea virginica</w:t>
      </w:r>
      <w:r w:rsidRPr="008F7301">
        <w:rPr>
          <w:rFonts w:cs="Times New Roman"/>
          <w:noProof/>
          <w:szCs w:val="24"/>
        </w:rPr>
        <w:t xml:space="preserve">) feeding on natural seston and cultured algae. </w:t>
      </w:r>
      <w:r w:rsidRPr="008F7301">
        <w:rPr>
          <w:rFonts w:cs="Times New Roman"/>
          <w:i/>
          <w:iCs/>
          <w:noProof/>
          <w:szCs w:val="24"/>
        </w:rPr>
        <w:t>Mar. Biol.</w:t>
      </w:r>
      <w:r w:rsidRPr="008F7301">
        <w:rPr>
          <w:rFonts w:cs="Times New Roman"/>
          <w:noProof/>
          <w:szCs w:val="24"/>
        </w:rPr>
        <w:t xml:space="preserve"> 123, 95–107. doi:10.1007/BF00350328.</w:t>
      </w:r>
    </w:p>
    <w:p w14:paraId="62ED1525"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Barberán, A., Bates, S. T., Casamayor, E. O., and Fierer, N. (2012). Using network analysis to explore co-occurrence patterns in soil microbial communities. </w:t>
      </w:r>
      <w:r w:rsidRPr="008F7301">
        <w:rPr>
          <w:rFonts w:cs="Times New Roman"/>
          <w:i/>
          <w:iCs/>
          <w:noProof/>
          <w:szCs w:val="24"/>
        </w:rPr>
        <w:t>ISME J.</w:t>
      </w:r>
      <w:r w:rsidRPr="008F7301">
        <w:rPr>
          <w:rFonts w:cs="Times New Roman"/>
          <w:noProof/>
          <w:szCs w:val="24"/>
        </w:rPr>
        <w:t xml:space="preserve"> 6, 343–351. doi:10.1038/ismej.2011.119.</w:t>
      </w:r>
    </w:p>
    <w:p w14:paraId="3C5115D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lastRenderedPageBreak/>
        <w:t xml:space="preserve">Beaz-Hidalgo, R., Balboa, S., Romalde, J. L., and Figueras, M. J. (2010a). Diversity and pathogenecity of Vibrio species in cultured bivalve molluscs. </w:t>
      </w:r>
      <w:r w:rsidRPr="008F7301">
        <w:rPr>
          <w:rFonts w:cs="Times New Roman"/>
          <w:i/>
          <w:iCs/>
          <w:noProof/>
          <w:szCs w:val="24"/>
        </w:rPr>
        <w:t>Environ. Microbiol. Rep.</w:t>
      </w:r>
      <w:r w:rsidRPr="008F7301">
        <w:rPr>
          <w:rFonts w:cs="Times New Roman"/>
          <w:noProof/>
          <w:szCs w:val="24"/>
        </w:rPr>
        <w:t xml:space="preserve"> 2, 34–43. doi:10.1111/j.1758-2229.2010.00135.x.</w:t>
      </w:r>
    </w:p>
    <w:p w14:paraId="0DC0AEE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Beaz-Hidalgo, R., Diéguez, A. L., Cleenwerck, I., Balboa, S., Doce, A., de Vos, P., et al. (2010b). </w:t>
      </w:r>
      <w:r w:rsidRPr="00A9503C">
        <w:rPr>
          <w:rFonts w:cs="Times New Roman"/>
          <w:i/>
          <w:noProof/>
          <w:szCs w:val="24"/>
        </w:rPr>
        <w:t xml:space="preserve">Vibrio celticus </w:t>
      </w:r>
      <w:r w:rsidRPr="008F7301">
        <w:rPr>
          <w:rFonts w:cs="Times New Roman"/>
          <w:noProof/>
          <w:szCs w:val="24"/>
        </w:rPr>
        <w:t xml:space="preserve">sp. nov., a new Vibrio species belonging to the Splendidus clade with pathogenic potential for clams. </w:t>
      </w:r>
      <w:r w:rsidRPr="008F7301">
        <w:rPr>
          <w:rFonts w:cs="Times New Roman"/>
          <w:i/>
          <w:iCs/>
          <w:noProof/>
          <w:szCs w:val="24"/>
        </w:rPr>
        <w:t>Syst. Appl. Microbiol.</w:t>
      </w:r>
      <w:r w:rsidRPr="008F7301">
        <w:rPr>
          <w:rFonts w:cs="Times New Roman"/>
          <w:noProof/>
          <w:szCs w:val="24"/>
        </w:rPr>
        <w:t xml:space="preserve"> 33, 311–315. doi:10.1016/j.syapm.2010.06.007.</w:t>
      </w:r>
    </w:p>
    <w:p w14:paraId="3403ACA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8F7301">
        <w:rPr>
          <w:rFonts w:cs="Times New Roman"/>
          <w:i/>
          <w:iCs/>
          <w:noProof/>
          <w:szCs w:val="24"/>
        </w:rPr>
        <w:t>Environ. Microbiol. Rep.</w:t>
      </w:r>
      <w:r w:rsidRPr="008F7301">
        <w:rPr>
          <w:rFonts w:cs="Times New Roman"/>
          <w:noProof/>
          <w:szCs w:val="24"/>
        </w:rPr>
        <w:t xml:space="preserve"> 6, 656–664. doi:10.1111/1758-2229.12183.</w:t>
      </w:r>
    </w:p>
    <w:p w14:paraId="0C03C52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Bernardet, J.-F., Bernardet, and Jean‐François (2015). “</w:t>
      </w:r>
      <w:r w:rsidRPr="00A9503C">
        <w:rPr>
          <w:rFonts w:cs="Times New Roman"/>
          <w:i/>
          <w:noProof/>
          <w:szCs w:val="24"/>
        </w:rPr>
        <w:t xml:space="preserve">Flavobacteriales </w:t>
      </w:r>
      <w:r w:rsidRPr="008F7301">
        <w:rPr>
          <w:rFonts w:cs="Times New Roman"/>
          <w:noProof/>
          <w:szCs w:val="24"/>
        </w:rPr>
        <w:t xml:space="preserve">ord. nov,” in </w:t>
      </w:r>
      <w:r w:rsidRPr="008F7301">
        <w:rPr>
          <w:rFonts w:cs="Times New Roman"/>
          <w:i/>
          <w:iCs/>
          <w:noProof/>
          <w:szCs w:val="24"/>
        </w:rPr>
        <w:t>Bergey’s Manual of Systematics of Archaea and Bacteria</w:t>
      </w:r>
      <w:r w:rsidRPr="008F7301">
        <w:rPr>
          <w:rFonts w:cs="Times New Roman"/>
          <w:noProof/>
          <w:szCs w:val="24"/>
        </w:rPr>
        <w:t xml:space="preserve"> (Chichester, UK: John Wiley &amp; Sons, Ltd), 1–2. doi:10.1002/9781118960608.obm00033.</w:t>
      </w:r>
    </w:p>
    <w:p w14:paraId="07B0643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Bolger, A. M., Lohse, M., and Usadel, B. (2014). Trimmomatic: a flexible trimmer for Illumina sequence data. </w:t>
      </w:r>
      <w:r w:rsidRPr="008F7301">
        <w:rPr>
          <w:rFonts w:cs="Times New Roman"/>
          <w:i/>
          <w:iCs/>
          <w:noProof/>
          <w:szCs w:val="24"/>
        </w:rPr>
        <w:t>Bioinformatics</w:t>
      </w:r>
      <w:r w:rsidRPr="008F7301">
        <w:rPr>
          <w:rFonts w:cs="Times New Roman"/>
          <w:noProof/>
          <w:szCs w:val="24"/>
        </w:rPr>
        <w:t xml:space="preserve"> 30, 2114–2120. doi:10.1093/bioinformatics/btu170.</w:t>
      </w:r>
    </w:p>
    <w:p w14:paraId="1502023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Boutin, S., Audet, C., and Derome, N. (2013). Probiotic treatment by indigenous bacteria decreases mortality without disturbing the natural microbiota of Salvelinus fontinalis. </w:t>
      </w:r>
      <w:r w:rsidRPr="008F7301">
        <w:rPr>
          <w:rFonts w:cs="Times New Roman"/>
          <w:i/>
          <w:iCs/>
          <w:noProof/>
          <w:szCs w:val="24"/>
        </w:rPr>
        <w:t>Can. J. Microbiol.</w:t>
      </w:r>
      <w:r w:rsidRPr="008F7301">
        <w:rPr>
          <w:rFonts w:cs="Times New Roman"/>
          <w:noProof/>
          <w:szCs w:val="24"/>
        </w:rPr>
        <w:t xml:space="preserve"> 59, 662–70. doi:10.1139/cjm-2013-0443.</w:t>
      </w:r>
    </w:p>
    <w:p w14:paraId="091B456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Burge, C. A., Closek, C. J., Friedman, C. S., Groner, M. L., Jenkins, C. M., Shore-Maggio, A., et al. (2016). The Use of Filter-feeders to Manage Disease in a Changing World. in </w:t>
      </w:r>
      <w:r w:rsidRPr="008F7301">
        <w:rPr>
          <w:rFonts w:cs="Times New Roman"/>
          <w:i/>
          <w:iCs/>
          <w:noProof/>
          <w:szCs w:val="24"/>
        </w:rPr>
        <w:t>Integrative and Comparative Biology</w:t>
      </w:r>
      <w:r w:rsidRPr="008F7301">
        <w:rPr>
          <w:rFonts w:cs="Times New Roman"/>
          <w:noProof/>
          <w:szCs w:val="24"/>
        </w:rPr>
        <w:t xml:space="preserve"> (Oxford University Press), 573–587. doi:10.1093/icb/icw048.</w:t>
      </w:r>
    </w:p>
    <w:p w14:paraId="7642695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Chauhan, A., and Singh, R. (2018). Probiotics in aquaculture: a promising emerging alternative approach. </w:t>
      </w:r>
      <w:r w:rsidRPr="008F7301">
        <w:rPr>
          <w:rFonts w:cs="Times New Roman"/>
          <w:i/>
          <w:iCs/>
          <w:noProof/>
          <w:szCs w:val="24"/>
        </w:rPr>
        <w:t>Symbiosis</w:t>
      </w:r>
      <w:r w:rsidRPr="008F7301">
        <w:rPr>
          <w:rFonts w:cs="Times New Roman"/>
          <w:noProof/>
          <w:szCs w:val="24"/>
        </w:rPr>
        <w:t>, 1–15. doi:10.1007/s13199-018-0580-1.</w:t>
      </w:r>
    </w:p>
    <w:p w14:paraId="6CCF2DA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Chauhan, A., Wafula, D., Lewis, D. E., and Pathak, A. (2014). Metagenomic Assessment of the Eastern Oyster-Associated Microbiota. </w:t>
      </w:r>
      <w:r w:rsidRPr="008F7301">
        <w:rPr>
          <w:rFonts w:cs="Times New Roman"/>
          <w:i/>
          <w:iCs/>
          <w:noProof/>
          <w:szCs w:val="24"/>
        </w:rPr>
        <w:t>Genome Announc.</w:t>
      </w:r>
      <w:r w:rsidRPr="008F7301">
        <w:rPr>
          <w:rFonts w:cs="Times New Roman"/>
          <w:noProof/>
          <w:szCs w:val="24"/>
        </w:rPr>
        <w:t xml:space="preserve"> 2, e01083-14-e01083-14. doi:10.1128/genomeA.01083-14.</w:t>
      </w:r>
    </w:p>
    <w:p w14:paraId="631748C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Costa, P. M., Carreira, S., Lobo, J., and Costa, M. H. (2012). Molecular detection of prokaryote and protozoan parasites in the commercial bivalve </w:t>
      </w:r>
      <w:r w:rsidRPr="00A9503C">
        <w:rPr>
          <w:rFonts w:cs="Times New Roman"/>
          <w:i/>
          <w:noProof/>
          <w:szCs w:val="24"/>
        </w:rPr>
        <w:t>Ruditapes decussatus</w:t>
      </w:r>
      <w:r w:rsidRPr="008F7301">
        <w:rPr>
          <w:rFonts w:cs="Times New Roman"/>
          <w:noProof/>
          <w:szCs w:val="24"/>
        </w:rPr>
        <w:t xml:space="preserve"> from southern Portugal. </w:t>
      </w:r>
      <w:r w:rsidRPr="008F7301">
        <w:rPr>
          <w:rFonts w:cs="Times New Roman"/>
          <w:i/>
          <w:iCs/>
          <w:noProof/>
          <w:szCs w:val="24"/>
        </w:rPr>
        <w:t>Aquaculture</w:t>
      </w:r>
      <w:r w:rsidRPr="008F7301">
        <w:rPr>
          <w:rFonts w:cs="Times New Roman"/>
          <w:noProof/>
          <w:szCs w:val="24"/>
        </w:rPr>
        <w:t xml:space="preserve"> 370–371, 61–67. doi:10.1016/j.aquaculture.2012.10.006.</w:t>
      </w:r>
    </w:p>
    <w:p w14:paraId="0F50679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Costa Sobrinho, P. de S., Destro, M. T., Franco, B. D. G. M., and Landgraf, M. (2010). Correlation between environmental factors and prevalence of </w:t>
      </w:r>
      <w:r w:rsidRPr="00A9503C">
        <w:rPr>
          <w:rFonts w:cs="Times New Roman"/>
          <w:i/>
          <w:noProof/>
          <w:szCs w:val="24"/>
        </w:rPr>
        <w:t>Vibrio parahaemolyticus</w:t>
      </w:r>
      <w:r w:rsidRPr="008F7301">
        <w:rPr>
          <w:rFonts w:cs="Times New Roman"/>
          <w:noProof/>
          <w:szCs w:val="24"/>
        </w:rPr>
        <w:t xml:space="preserve"> in oysters harvested in the southern coastal area of Sao Paulo state, Brazil. </w:t>
      </w:r>
      <w:r w:rsidRPr="008F7301">
        <w:rPr>
          <w:rFonts w:cs="Times New Roman"/>
          <w:i/>
          <w:iCs/>
          <w:noProof/>
          <w:szCs w:val="24"/>
        </w:rPr>
        <w:t>Appl. Environ. Microbiol.</w:t>
      </w:r>
      <w:r w:rsidRPr="008F7301">
        <w:rPr>
          <w:rFonts w:cs="Times New Roman"/>
          <w:noProof/>
          <w:szCs w:val="24"/>
        </w:rPr>
        <w:t xml:space="preserve"> 76, 1290–1293. doi:10.1128/AEM.00861-09.</w:t>
      </w:r>
    </w:p>
    <w:p w14:paraId="1AA2EF8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Dittmann, K., Sonnenschein, E. C., Egan, S., Gram, L., and Bentzon-Tilia, M. (2018). Impact of </w:t>
      </w:r>
      <w:r w:rsidRPr="00A9503C">
        <w:rPr>
          <w:rFonts w:cs="Times New Roman"/>
          <w:i/>
          <w:noProof/>
          <w:szCs w:val="24"/>
        </w:rPr>
        <w:t>Phaeobacter inhibens</w:t>
      </w:r>
      <w:r w:rsidRPr="008F7301">
        <w:rPr>
          <w:rFonts w:cs="Times New Roman"/>
          <w:noProof/>
          <w:szCs w:val="24"/>
        </w:rPr>
        <w:t xml:space="preserve"> on marine eukaryote associated microbial communities. </w:t>
      </w:r>
      <w:r w:rsidRPr="008F7301">
        <w:rPr>
          <w:rFonts w:cs="Times New Roman"/>
          <w:i/>
          <w:iCs/>
          <w:noProof/>
          <w:szCs w:val="24"/>
        </w:rPr>
        <w:t>Appl. Environ. Microbiol.</w:t>
      </w:r>
      <w:r w:rsidRPr="008F7301">
        <w:rPr>
          <w:rFonts w:cs="Times New Roman"/>
          <w:noProof/>
          <w:szCs w:val="24"/>
        </w:rPr>
        <w:t xml:space="preserve"> Submitted. doi:10.1111/1758-2229.12698.</w:t>
      </w:r>
    </w:p>
    <w:p w14:paraId="77CB3E6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Dixon, P. (2003). VEGAN, a package of R functions for community ecology. </w:t>
      </w:r>
      <w:r w:rsidRPr="008F7301">
        <w:rPr>
          <w:rFonts w:cs="Times New Roman"/>
          <w:i/>
          <w:iCs/>
          <w:noProof/>
          <w:szCs w:val="24"/>
        </w:rPr>
        <w:t>J. Veg. Sci.</w:t>
      </w:r>
      <w:r w:rsidRPr="008F7301">
        <w:rPr>
          <w:rFonts w:cs="Times New Roman"/>
          <w:noProof/>
          <w:szCs w:val="24"/>
        </w:rPr>
        <w:t xml:space="preserve"> 14, 927–930. doi:10.1111/j.1654-1103.2003.tb02228.x.</w:t>
      </w:r>
    </w:p>
    <w:p w14:paraId="4B257F4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lastRenderedPageBreak/>
        <w:t xml:space="preserve">Dubert, J., Barja, J. L., and Romalde, J. L. (2017). New insights into pathogenic vibrios affecting bivalves in hatcheries: Present and future prospects. </w:t>
      </w:r>
      <w:r w:rsidRPr="008F7301">
        <w:rPr>
          <w:rFonts w:cs="Times New Roman"/>
          <w:i/>
          <w:iCs/>
          <w:noProof/>
          <w:szCs w:val="24"/>
        </w:rPr>
        <w:t>Front. Microbiol.</w:t>
      </w:r>
      <w:r w:rsidRPr="008F7301">
        <w:rPr>
          <w:rFonts w:cs="Times New Roman"/>
          <w:noProof/>
          <w:szCs w:val="24"/>
        </w:rPr>
        <w:t xml:space="preserve"> 8, 762. doi:10.3389/fmicb.2017.00762.</w:t>
      </w:r>
    </w:p>
    <w:p w14:paraId="7891D2A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8F7301">
        <w:rPr>
          <w:rFonts w:cs="Times New Roman"/>
          <w:i/>
          <w:iCs/>
          <w:noProof/>
          <w:szCs w:val="24"/>
        </w:rPr>
        <w:t>Environ. Sci. Technol.</w:t>
      </w:r>
      <w:r w:rsidRPr="008F7301">
        <w:rPr>
          <w:rFonts w:cs="Times New Roman"/>
          <w:noProof/>
          <w:szCs w:val="24"/>
        </w:rPr>
        <w:t xml:space="preserve"> 47, 10860–10867. doi:10.1021/es401676y.</w:t>
      </w:r>
    </w:p>
    <w:p w14:paraId="0D4AA85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Elston, R., Leibovitz, L., Relyea, D., and Zatila, J. (1981). Diagnosis of vibriosis in a commercial oyster hatchery epizootic: Diagnostic tools and management features. </w:t>
      </w:r>
      <w:r w:rsidRPr="008F7301">
        <w:rPr>
          <w:rFonts w:cs="Times New Roman"/>
          <w:i/>
          <w:iCs/>
          <w:noProof/>
          <w:szCs w:val="24"/>
        </w:rPr>
        <w:t>Aquaculture</w:t>
      </w:r>
      <w:r w:rsidRPr="008F7301">
        <w:rPr>
          <w:rFonts w:cs="Times New Roman"/>
          <w:noProof/>
          <w:szCs w:val="24"/>
        </w:rPr>
        <w:t xml:space="preserve"> 24, 53–62. doi:10.1016/0044-8486(81)90043-0.</w:t>
      </w:r>
    </w:p>
    <w:p w14:paraId="04298FB1" w14:textId="29D381AE"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Emmanuelle, P. E., Mickael, P., Evan Ward, J., Shumway, S. E., and Bassem, A. (2009). Lectins associated with the feeding organs of the oyster </w:t>
      </w:r>
      <w:r w:rsidR="00A9503C" w:rsidRPr="00A9503C">
        <w:rPr>
          <w:rFonts w:cs="Times New Roman"/>
          <w:i/>
          <w:noProof/>
          <w:szCs w:val="24"/>
        </w:rPr>
        <w:t>C</w:t>
      </w:r>
      <w:r w:rsidRPr="00A9503C">
        <w:rPr>
          <w:rFonts w:cs="Times New Roman"/>
          <w:i/>
          <w:noProof/>
          <w:szCs w:val="24"/>
        </w:rPr>
        <w:t>rassostrea virginica</w:t>
      </w:r>
      <w:r w:rsidRPr="008F7301">
        <w:rPr>
          <w:rFonts w:cs="Times New Roman"/>
          <w:noProof/>
          <w:szCs w:val="24"/>
        </w:rPr>
        <w:t xml:space="preserve"> can mediate particle selection. </w:t>
      </w:r>
      <w:r w:rsidRPr="008F7301">
        <w:rPr>
          <w:rFonts w:cs="Times New Roman"/>
          <w:i/>
          <w:iCs/>
          <w:noProof/>
          <w:szCs w:val="24"/>
        </w:rPr>
        <w:t>Biol. Bull.</w:t>
      </w:r>
      <w:r w:rsidRPr="008F7301">
        <w:rPr>
          <w:rFonts w:cs="Times New Roman"/>
          <w:noProof/>
          <w:szCs w:val="24"/>
        </w:rPr>
        <w:t xml:space="preserve"> 217, 130–141. doi:217/2/130 [pii].</w:t>
      </w:r>
    </w:p>
    <w:p w14:paraId="497A2A9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Eren, A. M., Maignien, L., Sul, W. J., Murphy, L. G., Grim, S. L., Morrison, H. G., et al. (2013a). Oligotyping: Differentiating between closely related microbial taxa using 16S rRNA gene data. </w:t>
      </w:r>
      <w:r w:rsidRPr="008F7301">
        <w:rPr>
          <w:rFonts w:cs="Times New Roman"/>
          <w:i/>
          <w:iCs/>
          <w:noProof/>
          <w:szCs w:val="24"/>
        </w:rPr>
        <w:t>Methods Ecol. Evol.</w:t>
      </w:r>
      <w:r w:rsidRPr="008F7301">
        <w:rPr>
          <w:rFonts w:cs="Times New Roman"/>
          <w:noProof/>
          <w:szCs w:val="24"/>
        </w:rPr>
        <w:t xml:space="preserve"> 4, 1111–1119. doi:10.1111/2041-210X.12114.</w:t>
      </w:r>
    </w:p>
    <w:p w14:paraId="6EC143B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Eren, A. M., Vineis, J. H., Morrison, H. G., and Sogin, M. L. (2013b). A Filtering Method to Generate High Quality Short Reads Using Illumina Paired-End Technology. </w:t>
      </w:r>
      <w:r w:rsidRPr="008F7301">
        <w:rPr>
          <w:rFonts w:cs="Times New Roman"/>
          <w:i/>
          <w:iCs/>
          <w:noProof/>
          <w:szCs w:val="24"/>
        </w:rPr>
        <w:t>PLoS One</w:t>
      </w:r>
      <w:r w:rsidRPr="008F7301">
        <w:rPr>
          <w:rFonts w:cs="Times New Roman"/>
          <w:noProof/>
          <w:szCs w:val="24"/>
        </w:rPr>
        <w:t xml:space="preserve"> 8, e66643. doi:10.1371/journal.pone.0066643.</w:t>
      </w:r>
    </w:p>
    <w:p w14:paraId="074FA14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FAO (2018). The State of World Fisheries and Aquaculture 2018 - Meeting the sustainable development goals. Available at: www.fao.org/publications.</w:t>
      </w:r>
    </w:p>
    <w:p w14:paraId="14EB7D9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García Bernal, M., Trabal Fernández, N., Saucedo Lastra, P. E., Medina Marrero, R., and Mazón-Suástegui, J. M. (2017). Streptomyces effect on the bacterial microbiota associated to </w:t>
      </w:r>
      <w:r w:rsidRPr="00990F1F">
        <w:rPr>
          <w:rFonts w:cs="Times New Roman"/>
          <w:i/>
          <w:noProof/>
          <w:szCs w:val="24"/>
        </w:rPr>
        <w:t xml:space="preserve">Crassostrea sikamea </w:t>
      </w:r>
      <w:r w:rsidRPr="008F7301">
        <w:rPr>
          <w:rFonts w:cs="Times New Roman"/>
          <w:noProof/>
          <w:szCs w:val="24"/>
        </w:rPr>
        <w:t xml:space="preserve">oyster. </w:t>
      </w:r>
      <w:r w:rsidRPr="008F7301">
        <w:rPr>
          <w:rFonts w:cs="Times New Roman"/>
          <w:i/>
          <w:iCs/>
          <w:noProof/>
          <w:szCs w:val="24"/>
        </w:rPr>
        <w:t>J. Appl. Microbiol.</w:t>
      </w:r>
      <w:r w:rsidRPr="008F7301">
        <w:rPr>
          <w:rFonts w:cs="Times New Roman"/>
          <w:noProof/>
          <w:szCs w:val="24"/>
        </w:rPr>
        <w:t xml:space="preserve"> 122, 601–614. doi:10.1111/jam.13382.</w:t>
      </w:r>
    </w:p>
    <w:p w14:paraId="293E887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Gatesoupe, F. . (1999). Review: The use of probiotics in aquaculture. </w:t>
      </w:r>
      <w:r w:rsidRPr="008F7301">
        <w:rPr>
          <w:rFonts w:cs="Times New Roman"/>
          <w:i/>
          <w:iCs/>
          <w:noProof/>
          <w:szCs w:val="24"/>
        </w:rPr>
        <w:t>Aquaculture</w:t>
      </w:r>
      <w:r w:rsidRPr="008F7301">
        <w:rPr>
          <w:rFonts w:cs="Times New Roman"/>
          <w:noProof/>
          <w:szCs w:val="24"/>
        </w:rPr>
        <w:t xml:space="preserve"> 180, 147–165. doi:10.1016/S0044-8486(99)00187-8.</w:t>
      </w:r>
    </w:p>
    <w:p w14:paraId="5F05F8F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8F7301">
        <w:rPr>
          <w:rFonts w:cs="Times New Roman"/>
          <w:i/>
          <w:iCs/>
          <w:noProof/>
          <w:szCs w:val="24"/>
        </w:rPr>
        <w:t>Fish Shellfish Immunol.</w:t>
      </w:r>
      <w:r w:rsidRPr="008F7301">
        <w:rPr>
          <w:rFonts w:cs="Times New Roman"/>
          <w:noProof/>
          <w:szCs w:val="24"/>
        </w:rPr>
        <w:t xml:space="preserve"> 35, 766–775. doi:10.1016/j.fsi.2013.06.014.</w:t>
      </w:r>
    </w:p>
    <w:p w14:paraId="032C533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Gonçalves, A. T., and Gallardo-Escárate, C. (2017). Microbiome dynamic modulation through functional diets based on pre- and probiotics (mannan-oligosaccharides and </w:t>
      </w:r>
      <w:r w:rsidRPr="00990F1F">
        <w:rPr>
          <w:rFonts w:cs="Times New Roman"/>
          <w:i/>
          <w:noProof/>
          <w:szCs w:val="24"/>
        </w:rPr>
        <w:t>Saccharomyces cerevisiae</w:t>
      </w:r>
      <w:r w:rsidRPr="008F7301">
        <w:rPr>
          <w:rFonts w:cs="Times New Roman"/>
          <w:noProof/>
          <w:szCs w:val="24"/>
        </w:rPr>
        <w:t>) in juvenile rainbow trout (</w:t>
      </w:r>
      <w:r w:rsidRPr="00990F1F">
        <w:rPr>
          <w:rFonts w:cs="Times New Roman"/>
          <w:i/>
          <w:noProof/>
          <w:szCs w:val="24"/>
        </w:rPr>
        <w:t>Oncorhynchus mykiss</w:t>
      </w:r>
      <w:r w:rsidRPr="008F7301">
        <w:rPr>
          <w:rFonts w:cs="Times New Roman"/>
          <w:noProof/>
          <w:szCs w:val="24"/>
        </w:rPr>
        <w:t xml:space="preserve">). </w:t>
      </w:r>
      <w:r w:rsidRPr="008F7301">
        <w:rPr>
          <w:rFonts w:cs="Times New Roman"/>
          <w:i/>
          <w:iCs/>
          <w:noProof/>
          <w:szCs w:val="24"/>
        </w:rPr>
        <w:t>J. Appl. Microbiol.</w:t>
      </w:r>
      <w:r w:rsidRPr="008F7301">
        <w:rPr>
          <w:rFonts w:cs="Times New Roman"/>
          <w:noProof/>
          <w:szCs w:val="24"/>
        </w:rPr>
        <w:t xml:space="preserve"> 122, 1333–1347. doi:10.1111/jam.13437.</w:t>
      </w:r>
    </w:p>
    <w:p w14:paraId="5680ABF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Groner, M. L., Maynard, J., Breyta, R., Carnegie, R. B., Dobson, A., Friedman, C. S., et al. (2016). Managing marine disease emergencies in an era of rapid change. </w:t>
      </w:r>
      <w:r w:rsidRPr="008F7301">
        <w:rPr>
          <w:rFonts w:cs="Times New Roman"/>
          <w:i/>
          <w:iCs/>
          <w:noProof/>
          <w:szCs w:val="24"/>
        </w:rPr>
        <w:t>Philos. Trans. R. Soc. B Biol. Sci.</w:t>
      </w:r>
      <w:r w:rsidRPr="008F7301">
        <w:rPr>
          <w:rFonts w:cs="Times New Roman"/>
          <w:noProof/>
          <w:szCs w:val="24"/>
        </w:rPr>
        <w:t xml:space="preserve"> 371, 20150364. doi:10.1098/rstb.2015.0364.</w:t>
      </w:r>
    </w:p>
    <w:p w14:paraId="2151CD7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Hamblin, M., Spinard, E., Gomez-Chiarri, M., Nelson, D. R., and Rowley, D. C. (2015). Draft </w:t>
      </w:r>
      <w:r w:rsidRPr="008F7301">
        <w:rPr>
          <w:rFonts w:cs="Times New Roman"/>
          <w:noProof/>
          <w:szCs w:val="24"/>
        </w:rPr>
        <w:lastRenderedPageBreak/>
        <w:t xml:space="preserve">Genome Sequence of the Shellfish Larval Probiotic </w:t>
      </w:r>
      <w:r w:rsidRPr="00990F1F">
        <w:rPr>
          <w:rFonts w:cs="Times New Roman"/>
          <w:i/>
          <w:noProof/>
          <w:szCs w:val="24"/>
        </w:rPr>
        <w:t>Bacillus pumilus</w:t>
      </w:r>
      <w:r w:rsidRPr="008F7301">
        <w:rPr>
          <w:rFonts w:cs="Times New Roman"/>
          <w:noProof/>
          <w:szCs w:val="24"/>
        </w:rPr>
        <w:t xml:space="preserve"> RI06-95. </w:t>
      </w:r>
      <w:r w:rsidRPr="008F7301">
        <w:rPr>
          <w:rFonts w:cs="Times New Roman"/>
          <w:i/>
          <w:iCs/>
          <w:noProof/>
          <w:szCs w:val="24"/>
        </w:rPr>
        <w:t>Genome Announc.</w:t>
      </w:r>
      <w:r w:rsidRPr="008F7301">
        <w:rPr>
          <w:rFonts w:cs="Times New Roman"/>
          <w:noProof/>
          <w:szCs w:val="24"/>
        </w:rPr>
        <w:t xml:space="preserve"> 3, e00858-15. doi:10.1128/genomeA.00858-15.</w:t>
      </w:r>
    </w:p>
    <w:p w14:paraId="5A43470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Hazen, T. C., Dubinsky, E. A., DeSantis, T. Z., Andersen, G. L., Piceno, Y. M., Singh, N., et al. (2010). Deep-sea oil plume enriches indigenous oil-degrading bacteria. </w:t>
      </w:r>
      <w:r w:rsidRPr="008F7301">
        <w:rPr>
          <w:rFonts w:cs="Times New Roman"/>
          <w:i/>
          <w:iCs/>
          <w:noProof/>
          <w:szCs w:val="24"/>
        </w:rPr>
        <w:t>Science</w:t>
      </w:r>
      <w:r w:rsidRPr="008F7301">
        <w:rPr>
          <w:rFonts w:cs="Times New Roman"/>
          <w:noProof/>
          <w:szCs w:val="24"/>
        </w:rPr>
        <w:t xml:space="preserve"> 330, 204–8. doi:10.1126/science.1195979.</w:t>
      </w:r>
    </w:p>
    <w:p w14:paraId="6209F09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Helm, M., and Bourne, N. (2004). </w:t>
      </w:r>
      <w:r w:rsidRPr="008F7301">
        <w:rPr>
          <w:rFonts w:cs="Times New Roman"/>
          <w:i/>
          <w:iCs/>
          <w:noProof/>
          <w:szCs w:val="24"/>
        </w:rPr>
        <w:t>Hatchery culture of bivalves. A practical manual</w:t>
      </w:r>
      <w:r w:rsidRPr="008F7301">
        <w:rPr>
          <w:rFonts w:cs="Times New Roman"/>
          <w:noProof/>
          <w:szCs w:val="24"/>
        </w:rPr>
        <w:t>. doi:10.15713/ins.mmj.3.</w:t>
      </w:r>
    </w:p>
    <w:p w14:paraId="325F2759"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Hernández-Zárate, G., and Olmos-Soto, J. (2006). Identification of bacterial diversity in the oyster </w:t>
      </w:r>
      <w:r w:rsidRPr="00990F1F">
        <w:rPr>
          <w:rFonts w:cs="Times New Roman"/>
          <w:i/>
          <w:noProof/>
          <w:szCs w:val="24"/>
        </w:rPr>
        <w:t>Crassostrea gigas</w:t>
      </w:r>
      <w:r w:rsidRPr="008F7301">
        <w:rPr>
          <w:rFonts w:cs="Times New Roman"/>
          <w:noProof/>
          <w:szCs w:val="24"/>
        </w:rPr>
        <w:t xml:space="preserve"> by fluorescent in situ hybridization and polymerase chain reaction. </w:t>
      </w:r>
      <w:r w:rsidRPr="008F7301">
        <w:rPr>
          <w:rFonts w:cs="Times New Roman"/>
          <w:i/>
          <w:iCs/>
          <w:noProof/>
          <w:szCs w:val="24"/>
        </w:rPr>
        <w:t>J. Appl. Microbiol.</w:t>
      </w:r>
      <w:r w:rsidRPr="008F7301">
        <w:rPr>
          <w:rFonts w:cs="Times New Roman"/>
          <w:noProof/>
          <w:szCs w:val="24"/>
        </w:rPr>
        <w:t xml:space="preserve"> 100, 664–672. doi:10.1111/j.1365-2672.2005.02800.x.</w:t>
      </w:r>
    </w:p>
    <w:p w14:paraId="0775430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Huse, S. M., Mark Welch, D. B., Voorhis, A., Shipunova, A., Morrison, H. G., Eren, A. M., et al. (2014). VAMPS: A website for visualization and analysis of microbial population structures. </w:t>
      </w:r>
      <w:r w:rsidRPr="008F7301">
        <w:rPr>
          <w:rFonts w:cs="Times New Roman"/>
          <w:i/>
          <w:iCs/>
          <w:noProof/>
          <w:szCs w:val="24"/>
        </w:rPr>
        <w:t>BMC Bioinformatics</w:t>
      </w:r>
      <w:r w:rsidRPr="008F7301">
        <w:rPr>
          <w:rFonts w:cs="Times New Roman"/>
          <w:noProof/>
          <w:szCs w:val="24"/>
        </w:rPr>
        <w:t xml:space="preserve"> 15, 41. doi:10.1186/1471-2105-15-41.</w:t>
      </w:r>
    </w:p>
    <w:p w14:paraId="3899E24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28B6DA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Jensen, S., Duperron, S., Birkeland, N.-K., and Hovland, M. (2010). Intracellular </w:t>
      </w:r>
      <w:r w:rsidRPr="00990F1F">
        <w:rPr>
          <w:rFonts w:cs="Times New Roman"/>
          <w:i/>
          <w:noProof/>
          <w:szCs w:val="24"/>
        </w:rPr>
        <w:t>Oceanospirillales</w:t>
      </w:r>
      <w:r w:rsidRPr="008F7301">
        <w:rPr>
          <w:rFonts w:cs="Times New Roman"/>
          <w:noProof/>
          <w:szCs w:val="24"/>
        </w:rPr>
        <w:t xml:space="preserve"> bacteria inhabit gills of Acesta bivalves. </w:t>
      </w:r>
      <w:r w:rsidRPr="008F7301">
        <w:rPr>
          <w:rFonts w:cs="Times New Roman"/>
          <w:i/>
          <w:iCs/>
          <w:noProof/>
          <w:szCs w:val="24"/>
        </w:rPr>
        <w:t>FEMS Microbiol. Ecol.</w:t>
      </w:r>
      <w:r w:rsidRPr="008F7301">
        <w:rPr>
          <w:rFonts w:cs="Times New Roman"/>
          <w:noProof/>
          <w:szCs w:val="24"/>
        </w:rPr>
        <w:t xml:space="preserve"> 74, 523–533. doi:10.1111/j.1574-6941.2010.00981.x.</w:t>
      </w:r>
    </w:p>
    <w:p w14:paraId="39F9822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Kamiyama, T. (2004). The microbial loop in a eutrophic bay and its contribution to bivalve aquaculture. </w:t>
      </w:r>
      <w:r w:rsidRPr="008F7301">
        <w:rPr>
          <w:rFonts w:cs="Times New Roman"/>
          <w:i/>
          <w:iCs/>
          <w:noProof/>
          <w:szCs w:val="24"/>
        </w:rPr>
        <w:t>Fish. Res.</w:t>
      </w:r>
      <w:r w:rsidRPr="008F7301">
        <w:rPr>
          <w:rFonts w:cs="Times New Roman"/>
          <w:noProof/>
          <w:szCs w:val="24"/>
        </w:rPr>
        <w:t>, 41–50. doi:10.3892/or.2013.2813.</w:t>
      </w:r>
    </w:p>
    <w:p w14:paraId="34038CC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Karim, M., Zhao, W., Rowley, D., Nelson, D., and Gomez-Chiarri, M. (2013). Probiotic Strains for Shellfish Aquaculture: Protection of Eastern Oyster, </w:t>
      </w:r>
      <w:r w:rsidRPr="00990F1F">
        <w:rPr>
          <w:rFonts w:cs="Times New Roman"/>
          <w:i/>
          <w:noProof/>
          <w:szCs w:val="24"/>
        </w:rPr>
        <w:t>Crassostrea virginica</w:t>
      </w:r>
      <w:r w:rsidRPr="008F7301">
        <w:rPr>
          <w:rFonts w:cs="Times New Roman"/>
          <w:noProof/>
          <w:szCs w:val="24"/>
        </w:rPr>
        <w:t xml:space="preserve"> , Larvae and Juveniles Against Bacterial Challenge. </w:t>
      </w:r>
      <w:r w:rsidRPr="008F7301">
        <w:rPr>
          <w:rFonts w:cs="Times New Roman"/>
          <w:i/>
          <w:iCs/>
          <w:noProof/>
          <w:szCs w:val="24"/>
        </w:rPr>
        <w:t>J. Shellfish Res.</w:t>
      </w:r>
      <w:r w:rsidRPr="008F7301">
        <w:rPr>
          <w:rFonts w:cs="Times New Roman"/>
          <w:noProof/>
          <w:szCs w:val="24"/>
        </w:rPr>
        <w:t xml:space="preserve"> 32, 401–408. doi:10.2983/035.032.0220.</w:t>
      </w:r>
    </w:p>
    <w:p w14:paraId="073D9BDF"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Kesarcodi-Watson, A., Kaspar, H., Lategan, M. J., and Gibson, L. (2008). Probiotics in aquaculture: The need, principles and mechanisms of action and screening processes. </w:t>
      </w:r>
      <w:r w:rsidRPr="008F7301">
        <w:rPr>
          <w:rFonts w:cs="Times New Roman"/>
          <w:i/>
          <w:iCs/>
          <w:noProof/>
          <w:szCs w:val="24"/>
        </w:rPr>
        <w:t>Aquaculture</w:t>
      </w:r>
      <w:r w:rsidRPr="008F7301">
        <w:rPr>
          <w:rFonts w:cs="Times New Roman"/>
          <w:noProof/>
          <w:szCs w:val="24"/>
        </w:rPr>
        <w:t xml:space="preserve"> 274, 1–14. doi:10.1016/j.aquaculture.2007.11.019.</w:t>
      </w:r>
    </w:p>
    <w:p w14:paraId="6191761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Kesarcodi-Watson, A., Miner, P., Nicolas, J. L., and Robert, R. (2012). Protective effect of four potential probiotics against pathogen-challenge of the larvae of three bivalves: Pacific oyster (</w:t>
      </w:r>
      <w:r w:rsidRPr="00990F1F">
        <w:rPr>
          <w:rFonts w:cs="Times New Roman"/>
          <w:i/>
          <w:noProof/>
          <w:szCs w:val="24"/>
        </w:rPr>
        <w:t>Crassostrea gigas</w:t>
      </w:r>
      <w:r w:rsidRPr="008F7301">
        <w:rPr>
          <w:rFonts w:cs="Times New Roman"/>
          <w:noProof/>
          <w:szCs w:val="24"/>
        </w:rPr>
        <w:t>), flat oyster (</w:t>
      </w:r>
      <w:r w:rsidRPr="00990F1F">
        <w:rPr>
          <w:rFonts w:cs="Times New Roman"/>
          <w:i/>
          <w:noProof/>
          <w:szCs w:val="24"/>
        </w:rPr>
        <w:t>Ostrea edulis</w:t>
      </w:r>
      <w:r w:rsidRPr="008F7301">
        <w:rPr>
          <w:rFonts w:cs="Times New Roman"/>
          <w:noProof/>
          <w:szCs w:val="24"/>
        </w:rPr>
        <w:t>) and scallop (</w:t>
      </w:r>
      <w:r w:rsidRPr="00990F1F">
        <w:rPr>
          <w:rFonts w:cs="Times New Roman"/>
          <w:i/>
          <w:noProof/>
          <w:szCs w:val="24"/>
        </w:rPr>
        <w:t>Pecten maximus</w:t>
      </w:r>
      <w:r w:rsidRPr="008F7301">
        <w:rPr>
          <w:rFonts w:cs="Times New Roman"/>
          <w:noProof/>
          <w:szCs w:val="24"/>
        </w:rPr>
        <w:t xml:space="preserve">). </w:t>
      </w:r>
      <w:r w:rsidRPr="008F7301">
        <w:rPr>
          <w:rFonts w:cs="Times New Roman"/>
          <w:i/>
          <w:iCs/>
          <w:noProof/>
          <w:szCs w:val="24"/>
        </w:rPr>
        <w:t>Aquaculture</w:t>
      </w:r>
      <w:r w:rsidRPr="008F7301">
        <w:rPr>
          <w:rFonts w:cs="Times New Roman"/>
          <w:noProof/>
          <w:szCs w:val="24"/>
        </w:rPr>
        <w:t xml:space="preserve"> 344–349, 29–34. doi:10.1016/j.aquaculture.2012.02.029.</w:t>
      </w:r>
    </w:p>
    <w:p w14:paraId="246CB73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King, G. M., Judd, C., Kuske, C. R., and Smith, C. (2012). Analysis of Stomach and Gut Microbiomes of the Eastern Oyster (</w:t>
      </w:r>
      <w:r w:rsidRPr="00990F1F">
        <w:rPr>
          <w:rFonts w:cs="Times New Roman"/>
          <w:i/>
          <w:noProof/>
          <w:szCs w:val="24"/>
        </w:rPr>
        <w:t>Crassostrea virginica</w:t>
      </w:r>
      <w:r w:rsidRPr="008F7301">
        <w:rPr>
          <w:rFonts w:cs="Times New Roman"/>
          <w:noProof/>
          <w:szCs w:val="24"/>
        </w:rPr>
        <w:t xml:space="preserve">) from Coastal Louisiana, USA. </w:t>
      </w:r>
      <w:r w:rsidRPr="008F7301">
        <w:rPr>
          <w:rFonts w:cs="Times New Roman"/>
          <w:i/>
          <w:iCs/>
          <w:noProof/>
          <w:szCs w:val="24"/>
        </w:rPr>
        <w:t>PLoS One</w:t>
      </w:r>
      <w:r w:rsidRPr="008F7301">
        <w:rPr>
          <w:rFonts w:cs="Times New Roman"/>
          <w:noProof/>
          <w:szCs w:val="24"/>
        </w:rPr>
        <w:t xml:space="preserve"> 7. doi:10.1371/journal.pone.0051475.</w:t>
      </w:r>
    </w:p>
    <w:p w14:paraId="79BD5E7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Lafferty, K. D., Harvell, C. D., Conrad, J. M., Friedman, C. S., Kent, M. L., Kuris, A. M., et al. (2015). Infectious Diseases Affect Marine Fisheries and Aquaculture Economics. </w:t>
      </w:r>
      <w:r w:rsidRPr="008F7301">
        <w:rPr>
          <w:rFonts w:cs="Times New Roman"/>
          <w:i/>
          <w:iCs/>
          <w:noProof/>
          <w:szCs w:val="24"/>
        </w:rPr>
        <w:t xml:space="preserve">Ann. Rev. </w:t>
      </w:r>
      <w:r w:rsidRPr="008F7301">
        <w:rPr>
          <w:rFonts w:cs="Times New Roman"/>
          <w:i/>
          <w:iCs/>
          <w:noProof/>
          <w:szCs w:val="24"/>
        </w:rPr>
        <w:lastRenderedPageBreak/>
        <w:t>Mar. Sci.</w:t>
      </w:r>
      <w:r w:rsidRPr="008F7301">
        <w:rPr>
          <w:rFonts w:cs="Times New Roman"/>
          <w:noProof/>
          <w:szCs w:val="24"/>
        </w:rPr>
        <w:t xml:space="preserve"> 7, 471–496. doi:10.1146/annurev-marine-010814-015646.</w:t>
      </w:r>
    </w:p>
    <w:p w14:paraId="70DD0E5B"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8F7301">
        <w:rPr>
          <w:rFonts w:cs="Times New Roman"/>
          <w:i/>
          <w:iCs/>
          <w:noProof/>
          <w:szCs w:val="24"/>
        </w:rPr>
        <w:t>BMC Microbiol.</w:t>
      </w:r>
      <w:r w:rsidRPr="008F7301">
        <w:rPr>
          <w:rFonts w:cs="Times New Roman"/>
          <w:noProof/>
          <w:szCs w:val="24"/>
        </w:rPr>
        <w:t xml:space="preserve"> 17, 175. doi:10.1186/s12866-017-1090-7.</w:t>
      </w:r>
    </w:p>
    <w:p w14:paraId="6B7CBC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Le Roux, F., Wegner, K. M., and Polz, M. F. (2016). Oysters and Vibrios as a Model for Disease Dynamics in Wild Animals. </w:t>
      </w:r>
      <w:r w:rsidRPr="008F7301">
        <w:rPr>
          <w:rFonts w:cs="Times New Roman"/>
          <w:i/>
          <w:iCs/>
          <w:noProof/>
          <w:szCs w:val="24"/>
        </w:rPr>
        <w:t>Trends Microbiol.</w:t>
      </w:r>
      <w:r w:rsidRPr="008F7301">
        <w:rPr>
          <w:rFonts w:cs="Times New Roman"/>
          <w:noProof/>
          <w:szCs w:val="24"/>
        </w:rPr>
        <w:t xml:space="preserve"> 24, 568–580. doi:10.1016/j.tim.2016.03.006.</w:t>
      </w:r>
    </w:p>
    <w:p w14:paraId="2B4F0BE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Goedknegt, M. A., Thieltges, D. W., Fiorentino, D., Kuenzel, S., Baines, J. F., et al. (2016a). Spatial and temporal dynamics of pacific oyster hemolymph microbiota across multiple scales. </w:t>
      </w:r>
      <w:r w:rsidRPr="008F7301">
        <w:rPr>
          <w:rFonts w:cs="Times New Roman"/>
          <w:i/>
          <w:iCs/>
          <w:noProof/>
          <w:szCs w:val="24"/>
        </w:rPr>
        <w:t>Front. Microbiol.</w:t>
      </w:r>
      <w:r w:rsidRPr="008F7301">
        <w:rPr>
          <w:rFonts w:cs="Times New Roman"/>
          <w:noProof/>
          <w:szCs w:val="24"/>
        </w:rPr>
        <w:t xml:space="preserve"> 7, 1367. doi:10.3389/fmicb.2016.01367.</w:t>
      </w:r>
    </w:p>
    <w:p w14:paraId="1288E50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Kuenzel, S., Baines, J. F., and Wegner, K. M. (2016b). The role of tissue-specific microbiota in initial establishment success of Pacific oysters. </w:t>
      </w:r>
      <w:r w:rsidRPr="008F7301">
        <w:rPr>
          <w:rFonts w:cs="Times New Roman"/>
          <w:i/>
          <w:iCs/>
          <w:noProof/>
          <w:szCs w:val="24"/>
        </w:rPr>
        <w:t>Environ. Microbiol.</w:t>
      </w:r>
      <w:r w:rsidRPr="008F7301">
        <w:rPr>
          <w:rFonts w:cs="Times New Roman"/>
          <w:noProof/>
          <w:szCs w:val="24"/>
        </w:rPr>
        <w:t xml:space="preserve"> 18, 970–987. doi:10.1111/1462-2920.13163.</w:t>
      </w:r>
    </w:p>
    <w:p w14:paraId="28C803C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Lokmer, A., and Mathias Wegner, K. (2015). Hemolymph microbiome of Pacific oysters in response to temperature, temperature stress and infection. </w:t>
      </w:r>
      <w:r w:rsidRPr="008F7301">
        <w:rPr>
          <w:rFonts w:cs="Times New Roman"/>
          <w:i/>
          <w:iCs/>
          <w:noProof/>
          <w:szCs w:val="24"/>
        </w:rPr>
        <w:t>ISME J.</w:t>
      </w:r>
      <w:r w:rsidRPr="008F7301">
        <w:rPr>
          <w:rFonts w:cs="Times New Roman"/>
          <w:noProof/>
          <w:szCs w:val="24"/>
        </w:rPr>
        <w:t xml:space="preserve"> 9, 670–682. doi:10.1038/ismej.2014.160.</w:t>
      </w:r>
    </w:p>
    <w:p w14:paraId="1C45E4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Mckindsey, C. W., Landry, T., Beirn, F. X. O., and Davies, I. A. N. M. (2007). Bivalve Aquaculture and Exotic Species : a Review of Ecological Considerations and Management Issues. </w:t>
      </w:r>
      <w:r w:rsidRPr="008F7301">
        <w:rPr>
          <w:rFonts w:cs="Times New Roman"/>
          <w:i/>
          <w:iCs/>
          <w:noProof/>
          <w:szCs w:val="24"/>
        </w:rPr>
        <w:t>http://dx.doi.org/10.2983/0730-8000(2007)26[281:BAAESA]2.0.CO;2</w:t>
      </w:r>
      <w:r w:rsidRPr="008F7301">
        <w:rPr>
          <w:rFonts w:cs="Times New Roman"/>
          <w:noProof/>
          <w:szCs w:val="24"/>
        </w:rPr>
        <w:t xml:space="preserve"> 26, 281–294. doi:10.2983/0730-8000(2007)26[281:BAAESA]2.0.CO;2.</w:t>
      </w:r>
    </w:p>
    <w:p w14:paraId="405247D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McMurdie, P. J., and Holmes, S. (2013). Phyloseq: An R Package for Reproducible Interactive Analysis and Graphics of Microbiome Census Data. </w:t>
      </w:r>
      <w:r w:rsidRPr="008F7301">
        <w:rPr>
          <w:rFonts w:cs="Times New Roman"/>
          <w:i/>
          <w:iCs/>
          <w:noProof/>
          <w:szCs w:val="24"/>
        </w:rPr>
        <w:t>PLoS One</w:t>
      </w:r>
      <w:r w:rsidRPr="008F7301">
        <w:rPr>
          <w:rFonts w:cs="Times New Roman"/>
          <w:noProof/>
          <w:szCs w:val="24"/>
        </w:rPr>
        <w:t xml:space="preserve"> 8, e61217. doi:10.1371/journal.pone.0061217.</w:t>
      </w:r>
    </w:p>
    <w:p w14:paraId="2F9BB03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Merrifield, D. L., and Carnevali, O. (2014). Probiotic Modulation of the Gut Microbiota of Fish. </w:t>
      </w:r>
      <w:r w:rsidRPr="008F7301">
        <w:rPr>
          <w:rFonts w:cs="Times New Roman"/>
          <w:i/>
          <w:iCs/>
          <w:noProof/>
          <w:szCs w:val="24"/>
        </w:rPr>
        <w:t>Aquac. Nutr.</w:t>
      </w:r>
      <w:r w:rsidRPr="008F7301">
        <w:rPr>
          <w:rFonts w:cs="Times New Roman"/>
          <w:noProof/>
          <w:szCs w:val="24"/>
        </w:rPr>
        <w:t xml:space="preserve"> 588, 185–222. doi:10.1002/9781118897263.ch8.</w:t>
      </w:r>
    </w:p>
    <w:p w14:paraId="02C514E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Mukhta, S., Mehnaz, S., Mirza, M. S., Mirza, B., and Malik, K. A. (2016). Accession No. LT221239, </w:t>
      </w:r>
      <w:r w:rsidRPr="00990F1F">
        <w:rPr>
          <w:rFonts w:cs="Times New Roman"/>
          <w:i/>
          <w:noProof/>
          <w:szCs w:val="24"/>
        </w:rPr>
        <w:t xml:space="preserve">Vibrio orientalis </w:t>
      </w:r>
      <w:r w:rsidRPr="008F7301">
        <w:rPr>
          <w:rFonts w:cs="Times New Roman"/>
          <w:noProof/>
          <w:szCs w:val="24"/>
        </w:rPr>
        <w:t>partial 16S rRNA gene, isolate LK2HaP4 - Nucleotide - NCBI. Available at: https://www.ncbi.nlm.nih.gov/nuccore/LT221239.1 [Accessed December 19, 2017].</w:t>
      </w:r>
    </w:p>
    <w:p w14:paraId="5DBF248D"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Natrah, F. M. I., Bossier, P., Sorgeloos, P., Yusoff, F. M., and Defoirdt, T. (2014). Significance of microalgal-bacterial interactions for aquaculture. </w:t>
      </w:r>
      <w:r w:rsidRPr="008F7301">
        <w:rPr>
          <w:rFonts w:cs="Times New Roman"/>
          <w:i/>
          <w:iCs/>
          <w:noProof/>
          <w:szCs w:val="24"/>
        </w:rPr>
        <w:t>Rev. Aquac.</w:t>
      </w:r>
      <w:r w:rsidRPr="008F7301">
        <w:rPr>
          <w:rFonts w:cs="Times New Roman"/>
          <w:noProof/>
          <w:szCs w:val="24"/>
        </w:rPr>
        <w:t xml:space="preserve"> 6, 48–61. doi:10.1111/raq.12024.</w:t>
      </w:r>
    </w:p>
    <w:p w14:paraId="08EA182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Nevejan, N., De Schryver, P., Wille, M., Dierckens, K., Baruah, K., and Van Stappen, G. (2016). Bacteria as food in aquaculture: Do they make a difference? </w:t>
      </w:r>
      <w:r w:rsidRPr="008F7301">
        <w:rPr>
          <w:rFonts w:cs="Times New Roman"/>
          <w:i/>
          <w:iCs/>
          <w:noProof/>
          <w:szCs w:val="24"/>
        </w:rPr>
        <w:t>Rev. Aquac.</w:t>
      </w:r>
      <w:r w:rsidRPr="008F7301">
        <w:rPr>
          <w:rFonts w:cs="Times New Roman"/>
          <w:noProof/>
          <w:szCs w:val="24"/>
        </w:rPr>
        <w:t xml:space="preserve"> 10, 180–212. doi:10.1111/raq.12155.</w:t>
      </w:r>
    </w:p>
    <w:p w14:paraId="17AC91D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Newaj-Fyzul, A., Al-Harbi, A. H., and Austin, B. (2014). Review: Developments in the use of probiotics for disease control in aquaculture. </w:t>
      </w:r>
      <w:r w:rsidRPr="008F7301">
        <w:rPr>
          <w:rFonts w:cs="Times New Roman"/>
          <w:i/>
          <w:iCs/>
          <w:noProof/>
          <w:szCs w:val="24"/>
        </w:rPr>
        <w:t>Aquaculture</w:t>
      </w:r>
      <w:r w:rsidRPr="008F7301">
        <w:rPr>
          <w:rFonts w:cs="Times New Roman"/>
          <w:noProof/>
          <w:szCs w:val="24"/>
        </w:rPr>
        <w:t xml:space="preserve"> 431, 1–11. doi:10.1016/j.aquaculture.2013.08.026.</w:t>
      </w:r>
    </w:p>
    <w:p w14:paraId="5263B58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Newell, R. I., and Jordan, S. J. (1983). Preferential ingestion of organic material by the American </w:t>
      </w:r>
      <w:r w:rsidRPr="008F7301">
        <w:rPr>
          <w:rFonts w:cs="Times New Roman"/>
          <w:noProof/>
          <w:szCs w:val="24"/>
        </w:rPr>
        <w:lastRenderedPageBreak/>
        <w:t xml:space="preserve">oyster </w:t>
      </w:r>
      <w:r w:rsidRPr="00990F1F">
        <w:rPr>
          <w:rFonts w:cs="Times New Roman"/>
          <w:i/>
          <w:noProof/>
          <w:szCs w:val="24"/>
        </w:rPr>
        <w:t>Crassostrea virginica</w:t>
      </w:r>
      <w:r w:rsidRPr="008F7301">
        <w:rPr>
          <w:rFonts w:cs="Times New Roman"/>
          <w:noProof/>
          <w:szCs w:val="24"/>
        </w:rPr>
        <w:t xml:space="preserve">. </w:t>
      </w:r>
      <w:r w:rsidRPr="008F7301">
        <w:rPr>
          <w:rFonts w:cs="Times New Roman"/>
          <w:i/>
          <w:iCs/>
          <w:noProof/>
          <w:szCs w:val="24"/>
        </w:rPr>
        <w:t>Mar. Ecol. - Prog. Ser.</w:t>
      </w:r>
      <w:r w:rsidRPr="008F7301">
        <w:rPr>
          <w:rFonts w:cs="Times New Roman"/>
          <w:noProof/>
          <w:szCs w:val="24"/>
        </w:rPr>
        <w:t xml:space="preserve"> 13, 47–53. doi:10.3354/meps013047.</w:t>
      </w:r>
    </w:p>
    <w:p w14:paraId="5636EBE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Pérez-Sánchez, T., Mora-Sánchez, B., and Balcázar, J. L. (2018). Biological Approaches for Disease Control in Aquaculture: Advantages, Limitations and Challenges. </w:t>
      </w:r>
      <w:r w:rsidRPr="008F7301">
        <w:rPr>
          <w:rFonts w:cs="Times New Roman"/>
          <w:i/>
          <w:iCs/>
          <w:noProof/>
          <w:szCs w:val="24"/>
        </w:rPr>
        <w:t>Trends Microbiol.</w:t>
      </w:r>
      <w:r w:rsidRPr="008F7301">
        <w:rPr>
          <w:rFonts w:cs="Times New Roman"/>
          <w:noProof/>
          <w:szCs w:val="24"/>
        </w:rPr>
        <w:t xml:space="preserve"> 26, 896–903. doi:10.1016/j.tim.2018.05.002.</w:t>
      </w:r>
    </w:p>
    <w:p w14:paraId="140404A9"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Pierce, M. L., and Ward, J. E. (2018). Microbial Ecology of the Bivalvia, with an Emphasis on the Family Ostreidae. </w:t>
      </w:r>
      <w:r w:rsidRPr="008F7301">
        <w:rPr>
          <w:rFonts w:cs="Times New Roman"/>
          <w:i/>
          <w:iCs/>
          <w:noProof/>
          <w:szCs w:val="24"/>
        </w:rPr>
        <w:t>J. Shellfish Res.</w:t>
      </w:r>
      <w:r w:rsidRPr="008F7301">
        <w:rPr>
          <w:rFonts w:cs="Times New Roman"/>
          <w:noProof/>
          <w:szCs w:val="24"/>
        </w:rPr>
        <w:t xml:space="preserve"> 37, 793–806. doi:10.2983/035.037.0410.</w:t>
      </w:r>
    </w:p>
    <w:p w14:paraId="79338CC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Pierce, M. L., Ward, J. E., Holohan, B. A., Zhao, X., and Hicks, R. E. (2016). The influence of site and season on the gut and pallial fluid microbial communities of the eastern oyster, </w:t>
      </w:r>
      <w:r w:rsidRPr="00990F1F">
        <w:rPr>
          <w:rFonts w:cs="Times New Roman"/>
          <w:i/>
          <w:noProof/>
          <w:szCs w:val="24"/>
        </w:rPr>
        <w:t xml:space="preserve">Crassostrea virginica </w:t>
      </w:r>
      <w:r w:rsidRPr="008F7301">
        <w:rPr>
          <w:rFonts w:cs="Times New Roman"/>
          <w:noProof/>
          <w:szCs w:val="24"/>
        </w:rPr>
        <w:t xml:space="preserve">(Bivalvia, Ostreidae): community-level physiological profiling and genetic structure. </w:t>
      </w:r>
      <w:r w:rsidRPr="008F7301">
        <w:rPr>
          <w:rFonts w:cs="Times New Roman"/>
          <w:i/>
          <w:iCs/>
          <w:noProof/>
          <w:szCs w:val="24"/>
        </w:rPr>
        <w:t>Hydrobiologia</w:t>
      </w:r>
      <w:r w:rsidRPr="008F7301">
        <w:rPr>
          <w:rFonts w:cs="Times New Roman"/>
          <w:noProof/>
          <w:szCs w:val="24"/>
        </w:rPr>
        <w:t xml:space="preserve"> 765, 97–113. doi:10.1007/s10750-015-2405-z.</w:t>
      </w:r>
    </w:p>
    <w:p w14:paraId="49AC8FC6"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Powell, S. M., Chapman, C. C., Bermudes, M., and Tamplin, M. L. (2013). Dynamics of Seawater Bacterial Communities in a Shellfish Hatchery. </w:t>
      </w:r>
      <w:r w:rsidRPr="008F7301">
        <w:rPr>
          <w:rFonts w:cs="Times New Roman"/>
          <w:i/>
          <w:iCs/>
          <w:noProof/>
          <w:szCs w:val="24"/>
        </w:rPr>
        <w:t>Microb. Ecol.</w:t>
      </w:r>
      <w:r w:rsidRPr="008F7301">
        <w:rPr>
          <w:rFonts w:cs="Times New Roman"/>
          <w:noProof/>
          <w:szCs w:val="24"/>
        </w:rPr>
        <w:t xml:space="preserve"> 66, 245–256. doi:10.1007/s00248-013-0183-6.</w:t>
      </w:r>
    </w:p>
    <w:p w14:paraId="7C1484E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Richards, G. P., Watson, M. A., Needleman, D. S., Church, K. M., and Häse, C. C. (2015a). Mortalities of Eastern And Pacific oyster larvae caused by the pathogens </w:t>
      </w:r>
      <w:r w:rsidRPr="00990F1F">
        <w:rPr>
          <w:rFonts w:cs="Times New Roman"/>
          <w:i/>
          <w:noProof/>
          <w:szCs w:val="24"/>
        </w:rPr>
        <w:t xml:space="preserve">Vibrio coralliilyticus </w:t>
      </w:r>
      <w:r w:rsidRPr="008F7301">
        <w:rPr>
          <w:rFonts w:cs="Times New Roman"/>
          <w:noProof/>
          <w:szCs w:val="24"/>
        </w:rPr>
        <w:t xml:space="preserve">and </w:t>
      </w:r>
      <w:r w:rsidRPr="00990F1F">
        <w:rPr>
          <w:rFonts w:cs="Times New Roman"/>
          <w:i/>
          <w:noProof/>
          <w:szCs w:val="24"/>
        </w:rPr>
        <w:t>Vibrio tubiashii</w:t>
      </w:r>
      <w:r w:rsidRPr="008F7301">
        <w:rPr>
          <w:rFonts w:cs="Times New Roman"/>
          <w:noProof/>
          <w:szCs w:val="24"/>
        </w:rPr>
        <w:t xml:space="preserve">. </w:t>
      </w:r>
      <w:r w:rsidRPr="008F7301">
        <w:rPr>
          <w:rFonts w:cs="Times New Roman"/>
          <w:i/>
          <w:iCs/>
          <w:noProof/>
          <w:szCs w:val="24"/>
        </w:rPr>
        <w:t>Appl. Environ. Microbiol.</w:t>
      </w:r>
      <w:r w:rsidRPr="008F7301">
        <w:rPr>
          <w:rFonts w:cs="Times New Roman"/>
          <w:noProof/>
          <w:szCs w:val="24"/>
        </w:rPr>
        <w:t xml:space="preserve"> 81, 292–297. doi:10.1128/AEM.02930-14.</w:t>
      </w:r>
    </w:p>
    <w:p w14:paraId="3A3B9A4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8F7301">
        <w:rPr>
          <w:rFonts w:cs="Times New Roman"/>
          <w:i/>
          <w:iCs/>
          <w:noProof/>
          <w:szCs w:val="24"/>
        </w:rPr>
        <w:t>Fish. Res.</w:t>
      </w:r>
      <w:r w:rsidRPr="008F7301">
        <w:rPr>
          <w:rFonts w:cs="Times New Roman"/>
          <w:noProof/>
          <w:szCs w:val="24"/>
        </w:rPr>
        <w:t xml:space="preserve"> doi:10.1016/j.fishres.2014.06.013.</w:t>
      </w:r>
    </w:p>
    <w:p w14:paraId="1B9AD2D7"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Romalde, J. L., Diéguez, A. L., Lasa, A., and Balboa, S. (2014). New Vibrio species associated to molluscan microbiota: A review. </w:t>
      </w:r>
      <w:r w:rsidRPr="008F7301">
        <w:rPr>
          <w:rFonts w:cs="Times New Roman"/>
          <w:i/>
          <w:iCs/>
          <w:noProof/>
          <w:szCs w:val="24"/>
        </w:rPr>
        <w:t>Front. Microbiol.</w:t>
      </w:r>
      <w:r w:rsidRPr="008F7301">
        <w:rPr>
          <w:rFonts w:cs="Times New Roman"/>
          <w:noProof/>
          <w:szCs w:val="24"/>
        </w:rPr>
        <w:t xml:space="preserve"> 4, 413. doi:10.3389/fmicb.2013.00413.</w:t>
      </w:r>
    </w:p>
    <w:p w14:paraId="1D97404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Schmidt, V., Gomez-Chiarri, M., Roy, C., Smith, K., and Amaral-Zettler, L. (2017). Subtle Microbiome Manipulation Using Probiotics Reduces Antibiotic-Associated Mortality in Fish. </w:t>
      </w:r>
      <w:r w:rsidRPr="008F7301">
        <w:rPr>
          <w:rFonts w:cs="Times New Roman"/>
          <w:i/>
          <w:iCs/>
          <w:noProof/>
          <w:szCs w:val="24"/>
        </w:rPr>
        <w:t>mSystems</w:t>
      </w:r>
      <w:r w:rsidRPr="008F7301">
        <w:rPr>
          <w:rFonts w:cs="Times New Roman"/>
          <w:noProof/>
          <w:szCs w:val="24"/>
        </w:rPr>
        <w:t xml:space="preserve"> 2, e00133-17. doi:10.1128/mSystems.00133-17.</w:t>
      </w:r>
    </w:p>
    <w:p w14:paraId="4E8A744E"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Shannon, P., Markiel, A., Ozier, O., Baliga, N. S., Wang, J. T., Ramage, D., et al. (2003). Cytoscape: A software Environment for integrated models of biomolecular interaction networks. </w:t>
      </w:r>
      <w:r w:rsidRPr="008F7301">
        <w:rPr>
          <w:rFonts w:cs="Times New Roman"/>
          <w:i/>
          <w:iCs/>
          <w:noProof/>
          <w:szCs w:val="24"/>
        </w:rPr>
        <w:t>Genome Res.</w:t>
      </w:r>
      <w:r w:rsidRPr="008F7301">
        <w:rPr>
          <w:rFonts w:cs="Times New Roman"/>
          <w:noProof/>
          <w:szCs w:val="24"/>
        </w:rPr>
        <w:t xml:space="preserve"> 13, 2498–2504. doi:10.1101/gr.1239303.</w:t>
      </w:r>
    </w:p>
    <w:p w14:paraId="309CC63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Simons, A. L., Churches, N., and Nuzhdin, S. (2018). High turnover of faecal microbiome from algal feedstock experimental manipulations in the Pacific oyster ( </w:t>
      </w:r>
      <w:r w:rsidRPr="00990F1F">
        <w:rPr>
          <w:rFonts w:cs="Times New Roman"/>
          <w:i/>
          <w:noProof/>
          <w:szCs w:val="24"/>
        </w:rPr>
        <w:t>Crassostrea gigas</w:t>
      </w:r>
      <w:r w:rsidRPr="008F7301">
        <w:rPr>
          <w:rFonts w:cs="Times New Roman"/>
          <w:noProof/>
          <w:szCs w:val="24"/>
        </w:rPr>
        <w:t xml:space="preserve"> ). </w:t>
      </w:r>
      <w:r w:rsidRPr="008F7301">
        <w:rPr>
          <w:rFonts w:cs="Times New Roman"/>
          <w:i/>
          <w:iCs/>
          <w:noProof/>
          <w:szCs w:val="24"/>
        </w:rPr>
        <w:t>Microb. Biotechnol.</w:t>
      </w:r>
      <w:r w:rsidRPr="008F7301">
        <w:rPr>
          <w:rFonts w:cs="Times New Roman"/>
          <w:noProof/>
          <w:szCs w:val="24"/>
        </w:rPr>
        <w:t xml:space="preserve"> doi:10.1111/1751-7915.13277.</w:t>
      </w:r>
    </w:p>
    <w:p w14:paraId="096D7C8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Sinigalliano, C. D., Gidley, M. L., Shibata, T., Whitman, D., Dixon, T. H., Laws, E., et al. (2007). Impacts of Hurricanes Katrina and Rita on the microbial landscape of the New Orleans area. </w:t>
      </w:r>
      <w:r w:rsidRPr="008F7301">
        <w:rPr>
          <w:rFonts w:cs="Times New Roman"/>
          <w:i/>
          <w:iCs/>
          <w:noProof/>
          <w:szCs w:val="24"/>
        </w:rPr>
        <w:t>Proc. Natl. Acad. Sci. U. S. A.</w:t>
      </w:r>
      <w:r w:rsidRPr="008F7301">
        <w:rPr>
          <w:rFonts w:cs="Times New Roman"/>
          <w:noProof/>
          <w:szCs w:val="24"/>
        </w:rPr>
        <w:t xml:space="preserve"> 104, 9029–9034. doi:10.1073/pnas.0610552104.</w:t>
      </w:r>
    </w:p>
    <w:p w14:paraId="484E4E1C"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Socha, A. M. (2008). Chemistry of antibiotics from Atlantic </w:t>
      </w:r>
      <w:r w:rsidRPr="00990F1F">
        <w:rPr>
          <w:rFonts w:cs="Times New Roman"/>
          <w:i/>
          <w:noProof/>
          <w:szCs w:val="24"/>
        </w:rPr>
        <w:t>Actinomycete</w:t>
      </w:r>
      <w:r w:rsidRPr="008F7301">
        <w:rPr>
          <w:rFonts w:cs="Times New Roman"/>
          <w:noProof/>
          <w:szCs w:val="24"/>
        </w:rPr>
        <w:t xml:space="preserve"> and </w:t>
      </w:r>
      <w:r w:rsidRPr="00990F1F">
        <w:rPr>
          <w:rFonts w:cs="Times New Roman"/>
          <w:i/>
          <w:noProof/>
          <w:szCs w:val="24"/>
        </w:rPr>
        <w:t>Bacillus</w:t>
      </w:r>
      <w:r w:rsidRPr="008F7301">
        <w:rPr>
          <w:rFonts w:cs="Times New Roman"/>
          <w:noProof/>
          <w:szCs w:val="24"/>
        </w:rPr>
        <w:t xml:space="preserve"> bacteria. </w:t>
      </w:r>
      <w:r w:rsidRPr="008F7301">
        <w:rPr>
          <w:rFonts w:cs="Times New Roman"/>
          <w:i/>
          <w:iCs/>
          <w:noProof/>
          <w:szCs w:val="24"/>
        </w:rPr>
        <w:t>ProQuest Diss. Theses</w:t>
      </w:r>
      <w:r w:rsidRPr="008F7301">
        <w:rPr>
          <w:rFonts w:cs="Times New Roman"/>
          <w:noProof/>
          <w:szCs w:val="24"/>
        </w:rPr>
        <w:t>. Available at: https://queens.ezp1.qub.ac.uk/login?url=https://search.proquest.com/docview/304506195?accountid=13374%0Ahttp://resolver.ebscohost.com/openurl?ctx_ver=Z39.88-2004&amp;ctx_enc=info:ofi/enc:UTF-</w:t>
      </w:r>
      <w:r w:rsidRPr="008F7301">
        <w:rPr>
          <w:rFonts w:cs="Times New Roman"/>
          <w:noProof/>
          <w:szCs w:val="24"/>
        </w:rPr>
        <w:lastRenderedPageBreak/>
        <w:t>8&amp;rfr_id=info:sid/ProQuest+Dissertations+%26+Theses+A%26I&amp;rft_val_fm.</w:t>
      </w:r>
    </w:p>
    <w:p w14:paraId="7F175B90"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8F7301">
        <w:rPr>
          <w:rFonts w:cs="Times New Roman"/>
          <w:i/>
          <w:iCs/>
          <w:noProof/>
          <w:szCs w:val="24"/>
        </w:rPr>
        <w:t>J. Shellfish Res.</w:t>
      </w:r>
      <w:r w:rsidRPr="008F7301">
        <w:rPr>
          <w:rFonts w:cs="Times New Roman"/>
          <w:noProof/>
          <w:szCs w:val="24"/>
        </w:rPr>
        <w:t xml:space="preserve"> 35, 319–328. doi:10.2983/035.035.0206.</w:t>
      </w:r>
    </w:p>
    <w:p w14:paraId="3E20A9E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Standen, B. . T., Rodiles, A., Peggs, D. L., Davies, S. J., Santos, G. A., and Merrifield, D. L. (2015). Modulation of the intestinal microbiota and morphology of tilapia, </w:t>
      </w:r>
      <w:r w:rsidRPr="00990F1F">
        <w:rPr>
          <w:rFonts w:cs="Times New Roman"/>
          <w:i/>
          <w:noProof/>
          <w:szCs w:val="24"/>
        </w:rPr>
        <w:t>Oreochromis niloticus</w:t>
      </w:r>
      <w:r w:rsidRPr="008F7301">
        <w:rPr>
          <w:rFonts w:cs="Times New Roman"/>
          <w:noProof/>
          <w:szCs w:val="24"/>
        </w:rPr>
        <w:t xml:space="preserve">, following the application of a multi-species probiotic. </w:t>
      </w:r>
      <w:r w:rsidRPr="008F7301">
        <w:rPr>
          <w:rFonts w:cs="Times New Roman"/>
          <w:i/>
          <w:iCs/>
          <w:noProof/>
          <w:szCs w:val="24"/>
        </w:rPr>
        <w:t>Appl. Microbiol. Biotechnol.</w:t>
      </w:r>
      <w:r w:rsidRPr="008F7301">
        <w:rPr>
          <w:rFonts w:cs="Times New Roman"/>
          <w:noProof/>
          <w:szCs w:val="24"/>
        </w:rPr>
        <w:t xml:space="preserve"> 99, 8403–8417. doi:10.1007/s00253-015-6702-2.</w:t>
      </w:r>
    </w:p>
    <w:p w14:paraId="062225A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Staroscik, A. M., and Smith, D. C. (2004). Seasonal patterns in bacterioplankton abundance and production in Narragansett Bay, Rhode Island, USA. </w:t>
      </w:r>
      <w:r w:rsidRPr="008F7301">
        <w:rPr>
          <w:rFonts w:cs="Times New Roman"/>
          <w:i/>
          <w:iCs/>
          <w:noProof/>
          <w:szCs w:val="24"/>
        </w:rPr>
        <w:t>Aquat. Microb. Ecol.</w:t>
      </w:r>
      <w:r w:rsidRPr="008F7301">
        <w:rPr>
          <w:rFonts w:cs="Times New Roman"/>
          <w:noProof/>
          <w:szCs w:val="24"/>
        </w:rPr>
        <w:t xml:space="preserve"> 35, 275–282.</w:t>
      </w:r>
    </w:p>
    <w:p w14:paraId="670A8C38"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Stentiford, G. D., Neil, D. M., Peeler, E. J., Shields, J. D., Small, H. J., Flegel, T. W., et al. (2012). Disease will limit future food supply from the global crustacean fishery and aquaculture sectors. </w:t>
      </w:r>
      <w:r w:rsidRPr="008F7301">
        <w:rPr>
          <w:rFonts w:cs="Times New Roman"/>
          <w:i/>
          <w:iCs/>
          <w:noProof/>
          <w:szCs w:val="24"/>
        </w:rPr>
        <w:t>J. Invertebr. Pathol.</w:t>
      </w:r>
      <w:r w:rsidRPr="008F7301">
        <w:rPr>
          <w:rFonts w:cs="Times New Roman"/>
          <w:noProof/>
          <w:szCs w:val="24"/>
        </w:rPr>
        <w:t xml:space="preserve"> 110, 141–157. doi:10.1016/j.jip.2012.03.013.</w:t>
      </w:r>
    </w:p>
    <w:p w14:paraId="1AB22E6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Tangl, J. S. (1983). </w:t>
      </w:r>
      <w:r w:rsidRPr="00990F1F">
        <w:rPr>
          <w:rFonts w:cs="Times New Roman"/>
          <w:i/>
          <w:noProof/>
          <w:szCs w:val="24"/>
        </w:rPr>
        <w:t>Vibrio orientalis</w:t>
      </w:r>
      <w:r w:rsidRPr="008F7301">
        <w:rPr>
          <w:rFonts w:cs="Times New Roman"/>
          <w:noProof/>
          <w:szCs w:val="24"/>
        </w:rPr>
        <w:t xml:space="preserve">. </w:t>
      </w:r>
      <w:r w:rsidRPr="008F7301">
        <w:rPr>
          <w:rFonts w:cs="Times New Roman"/>
          <w:i/>
          <w:iCs/>
          <w:noProof/>
          <w:szCs w:val="24"/>
        </w:rPr>
        <w:t>Current</w:t>
      </w:r>
      <w:r w:rsidRPr="008F7301">
        <w:rPr>
          <w:rFonts w:cs="Times New Roman"/>
          <w:noProof/>
          <w:szCs w:val="24"/>
        </w:rPr>
        <w:t xml:space="preserve"> 8, 95–100. doi:10.1007/BF01566965.</w:t>
      </w:r>
    </w:p>
    <w:p w14:paraId="40AB6BD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8F7301">
        <w:rPr>
          <w:rFonts w:cs="Times New Roman"/>
          <w:i/>
          <w:iCs/>
          <w:noProof/>
          <w:szCs w:val="24"/>
        </w:rPr>
        <w:t>Microb. Biotechnol.</w:t>
      </w:r>
      <w:r w:rsidRPr="008F7301">
        <w:rPr>
          <w:rFonts w:cs="Times New Roman"/>
          <w:noProof/>
          <w:szCs w:val="24"/>
        </w:rPr>
        <w:t xml:space="preserve"> 9, 209–223. doi:10.1111/1751-7915.12334.</w:t>
      </w:r>
    </w:p>
    <w:p w14:paraId="0B547D4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Trabal Fernández, N., Mazón-Suástegui, J. M., Vázquez-Juárez, R., Ascencio-Valle, F., and Romero, J. (2014). Changes in the composition and diversity of the bacterial microbiota associated with oysters (</w:t>
      </w:r>
      <w:r w:rsidRPr="00990F1F">
        <w:rPr>
          <w:rFonts w:cs="Times New Roman"/>
          <w:i/>
          <w:noProof/>
          <w:szCs w:val="24"/>
        </w:rPr>
        <w:t xml:space="preserve">Crassostrea corteziensis, Crassostrea gigas </w:t>
      </w:r>
      <w:r w:rsidRPr="008F7301">
        <w:rPr>
          <w:rFonts w:cs="Times New Roman"/>
          <w:noProof/>
          <w:szCs w:val="24"/>
        </w:rPr>
        <w:t xml:space="preserve">and </w:t>
      </w:r>
      <w:r w:rsidRPr="00990F1F">
        <w:rPr>
          <w:rFonts w:cs="Times New Roman"/>
          <w:i/>
          <w:noProof/>
          <w:szCs w:val="24"/>
        </w:rPr>
        <w:t>Crassostrea sikamea</w:t>
      </w:r>
      <w:r w:rsidRPr="008F7301">
        <w:rPr>
          <w:rFonts w:cs="Times New Roman"/>
          <w:noProof/>
          <w:szCs w:val="24"/>
        </w:rPr>
        <w:t xml:space="preserve">) during commercial production. </w:t>
      </w:r>
      <w:r w:rsidRPr="008F7301">
        <w:rPr>
          <w:rFonts w:cs="Times New Roman"/>
          <w:i/>
          <w:iCs/>
          <w:noProof/>
          <w:szCs w:val="24"/>
        </w:rPr>
        <w:t>FEMS Microbiol. Ecol.</w:t>
      </w:r>
      <w:r w:rsidRPr="008F7301">
        <w:rPr>
          <w:rFonts w:cs="Times New Roman"/>
          <w:noProof/>
          <w:szCs w:val="24"/>
        </w:rPr>
        <w:t xml:space="preserve"> 88, 69–83. doi:10.1111/1574-6941.12270.</w:t>
      </w:r>
    </w:p>
    <w:p w14:paraId="43560D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Tremblay, J., Singh, K., Fern, A., Kirton, E. S., He, S., Woyke, T., et al. (2015). Primer and platform effects on 16S rRNA tag sequencing. </w:t>
      </w:r>
      <w:r w:rsidRPr="008F7301">
        <w:rPr>
          <w:rFonts w:cs="Times New Roman"/>
          <w:i/>
          <w:iCs/>
          <w:noProof/>
          <w:szCs w:val="24"/>
        </w:rPr>
        <w:t>Front. Microbiol.</w:t>
      </w:r>
      <w:r w:rsidRPr="008F7301">
        <w:rPr>
          <w:rFonts w:cs="Times New Roman"/>
          <w:noProof/>
          <w:szCs w:val="24"/>
        </w:rPr>
        <w:t xml:space="preserve"> 6, 771. doi:10.3389/fmicb.2015.00771.</w:t>
      </w:r>
    </w:p>
    <w:p w14:paraId="5747BDB2"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Vaseeharan, B., and Ramasamy, P. (2003). Control of pathogenic </w:t>
      </w:r>
      <w:r w:rsidRPr="00990F1F">
        <w:rPr>
          <w:rFonts w:cs="Times New Roman"/>
          <w:i/>
          <w:noProof/>
          <w:szCs w:val="24"/>
        </w:rPr>
        <w:t>Vibrio</w:t>
      </w:r>
      <w:r w:rsidRPr="008F7301">
        <w:rPr>
          <w:rFonts w:cs="Times New Roman"/>
          <w:noProof/>
          <w:szCs w:val="24"/>
        </w:rPr>
        <w:t xml:space="preserve"> spp. by</w:t>
      </w:r>
      <w:r w:rsidRPr="00990F1F">
        <w:rPr>
          <w:rFonts w:cs="Times New Roman"/>
          <w:i/>
          <w:noProof/>
          <w:szCs w:val="24"/>
        </w:rPr>
        <w:t xml:space="preserve"> Bacillus subtilis</w:t>
      </w:r>
      <w:r w:rsidRPr="008F7301">
        <w:rPr>
          <w:rFonts w:cs="Times New Roman"/>
          <w:noProof/>
          <w:szCs w:val="24"/>
        </w:rPr>
        <w:t xml:space="preserve"> BT23, a possible probiotic treatment for black tiger shrimp </w:t>
      </w:r>
      <w:r w:rsidRPr="00990F1F">
        <w:rPr>
          <w:rFonts w:cs="Times New Roman"/>
          <w:i/>
          <w:noProof/>
          <w:szCs w:val="24"/>
        </w:rPr>
        <w:t>Penaeus monodon</w:t>
      </w:r>
      <w:r w:rsidRPr="008F7301">
        <w:rPr>
          <w:rFonts w:cs="Times New Roman"/>
          <w:noProof/>
          <w:szCs w:val="24"/>
        </w:rPr>
        <w:t xml:space="preserve">. </w:t>
      </w:r>
      <w:r w:rsidRPr="008F7301">
        <w:rPr>
          <w:rFonts w:cs="Times New Roman"/>
          <w:i/>
          <w:iCs/>
          <w:noProof/>
          <w:szCs w:val="24"/>
        </w:rPr>
        <w:t>Lett. Appl. Microbiol.</w:t>
      </w:r>
      <w:r w:rsidRPr="008F7301">
        <w:rPr>
          <w:rFonts w:cs="Times New Roman"/>
          <w:noProof/>
          <w:szCs w:val="24"/>
        </w:rPr>
        <w:t xml:space="preserve"> 36, 83–87. doi:10.1046/j.1472-765X.2003.01255.x.</w:t>
      </w:r>
    </w:p>
    <w:p w14:paraId="76454741"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Verschuere, L., Rombaut, G., Sorgeloos, P., and Verstraete, W. (2000). Probiotic Bacteria as Biological Control Agents in Aquaculture. </w:t>
      </w:r>
      <w:r w:rsidRPr="008F7301">
        <w:rPr>
          <w:rFonts w:cs="Times New Roman"/>
          <w:i/>
          <w:iCs/>
          <w:noProof/>
          <w:szCs w:val="24"/>
        </w:rPr>
        <w:t>Microbiol. Mol. Biol. Rev.</w:t>
      </w:r>
      <w:r w:rsidRPr="008F7301">
        <w:rPr>
          <w:rFonts w:cs="Times New Roman"/>
          <w:noProof/>
          <w:szCs w:val="24"/>
        </w:rPr>
        <w:t xml:space="preserve"> 64, 655–671. doi:10.1128/MMBR.64.4.655-671.2000.</w:t>
      </w:r>
    </w:p>
    <w:p w14:paraId="5ACB708A"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Wegner, K., Volkenborn, N., Peter, H., and Eiler, A. (2013). Disturbance induced decoupling between host genetics and composition of the associated microbiome. </w:t>
      </w:r>
      <w:r w:rsidRPr="008F7301">
        <w:rPr>
          <w:rFonts w:cs="Times New Roman"/>
          <w:i/>
          <w:iCs/>
          <w:noProof/>
          <w:szCs w:val="24"/>
        </w:rPr>
        <w:t>BMC Microbiol.</w:t>
      </w:r>
      <w:r w:rsidRPr="008F7301">
        <w:rPr>
          <w:rFonts w:cs="Times New Roman"/>
          <w:noProof/>
          <w:szCs w:val="24"/>
        </w:rPr>
        <w:t xml:space="preserve"> 13, 252. doi:10.1186/1471-2180-13-252.</w:t>
      </w:r>
    </w:p>
    <w:p w14:paraId="49A93593"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Zhao, W., Dao, C., Karim, M., Gomez-Chiarri, M., Rowley, D., and Nelson, D. R. (2016). Contributions of tropodithietic acid and biofilm formation to the probiotic activity of </w:t>
      </w:r>
      <w:r w:rsidRPr="00990F1F">
        <w:rPr>
          <w:rFonts w:cs="Times New Roman"/>
          <w:i/>
          <w:noProof/>
          <w:szCs w:val="24"/>
        </w:rPr>
        <w:t>Phaeobacter inhibens</w:t>
      </w:r>
      <w:r w:rsidRPr="008F7301">
        <w:rPr>
          <w:rFonts w:cs="Times New Roman"/>
          <w:noProof/>
          <w:szCs w:val="24"/>
        </w:rPr>
        <w:t xml:space="preserve">. </w:t>
      </w:r>
      <w:r w:rsidRPr="008F7301">
        <w:rPr>
          <w:rFonts w:cs="Times New Roman"/>
          <w:i/>
          <w:iCs/>
          <w:noProof/>
          <w:szCs w:val="24"/>
        </w:rPr>
        <w:t>BMC Microbiol.</w:t>
      </w:r>
      <w:r w:rsidRPr="008F7301">
        <w:rPr>
          <w:rFonts w:cs="Times New Roman"/>
          <w:noProof/>
          <w:szCs w:val="24"/>
        </w:rPr>
        <w:t xml:space="preserve"> 16, 1. doi:10.1186/s12866-015-0617-z.</w:t>
      </w:r>
    </w:p>
    <w:p w14:paraId="7B792144"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Zhao, W., Yuan, T., Piva, C., Spinard, E. J., Schuttert, C., Rowley, D. C., et al. (2018). The probiotic bacterium,</w:t>
      </w:r>
      <w:r w:rsidRPr="00990F1F">
        <w:rPr>
          <w:rFonts w:cs="Times New Roman"/>
          <w:i/>
          <w:noProof/>
          <w:szCs w:val="24"/>
        </w:rPr>
        <w:t xml:space="preserve"> Phaeobacter inhibens</w:t>
      </w:r>
      <w:r w:rsidRPr="008F7301">
        <w:rPr>
          <w:rFonts w:cs="Times New Roman"/>
          <w:noProof/>
          <w:szCs w:val="24"/>
        </w:rPr>
        <w:t xml:space="preserve"> , down-regulates virulence factor transcription in the shellfish </w:t>
      </w:r>
      <w:r w:rsidRPr="008F7301">
        <w:rPr>
          <w:rFonts w:cs="Times New Roman"/>
          <w:noProof/>
          <w:szCs w:val="24"/>
        </w:rPr>
        <w:lastRenderedPageBreak/>
        <w:t xml:space="preserve">pathogen, </w:t>
      </w:r>
      <w:r w:rsidRPr="00990F1F">
        <w:rPr>
          <w:rFonts w:cs="Times New Roman"/>
          <w:i/>
          <w:noProof/>
          <w:szCs w:val="24"/>
        </w:rPr>
        <w:t>Vibrio coralliilyticus</w:t>
      </w:r>
      <w:r w:rsidRPr="008F7301">
        <w:rPr>
          <w:rFonts w:cs="Times New Roman"/>
          <w:noProof/>
          <w:szCs w:val="24"/>
        </w:rPr>
        <w:t xml:space="preserve"> , by N -acyl homoserine lactone production. </w:t>
      </w:r>
      <w:r w:rsidRPr="008F7301">
        <w:rPr>
          <w:rFonts w:cs="Times New Roman"/>
          <w:i/>
          <w:iCs/>
          <w:noProof/>
          <w:szCs w:val="24"/>
        </w:rPr>
        <w:t>Appl. Environ. Microbiol.</w:t>
      </w:r>
      <w:r w:rsidRPr="008F7301">
        <w:rPr>
          <w:rFonts w:cs="Times New Roman"/>
          <w:noProof/>
          <w:szCs w:val="24"/>
        </w:rPr>
        <w:t xml:space="preserve"> doi:10.1128/AEM.01545-18.</w:t>
      </w:r>
    </w:p>
    <w:p w14:paraId="70FE17E0" w14:textId="77777777" w:rsidR="008F7301" w:rsidRPr="008F7301" w:rsidRDefault="008F7301" w:rsidP="008F7301">
      <w:pPr>
        <w:widowControl w:val="0"/>
        <w:autoSpaceDE w:val="0"/>
        <w:autoSpaceDN w:val="0"/>
        <w:adjustRightInd w:val="0"/>
        <w:ind w:left="480" w:hanging="480"/>
        <w:rPr>
          <w:rFonts w:cs="Times New Roman"/>
          <w:noProof/>
          <w:szCs w:val="24"/>
        </w:rPr>
      </w:pPr>
      <w:r w:rsidRPr="008F7301">
        <w:rPr>
          <w:rFonts w:cs="Times New Roman"/>
          <w:noProof/>
          <w:szCs w:val="24"/>
        </w:rPr>
        <w:t xml:space="preserve">Zou, Y., Ma, C., Zhang, Y., Du, Z., You, F., Tan, X., et al. (2016). Isolation and characterization of </w:t>
      </w:r>
      <w:r w:rsidRPr="00990F1F">
        <w:rPr>
          <w:rFonts w:cs="Times New Roman"/>
          <w:i/>
          <w:noProof/>
          <w:szCs w:val="24"/>
        </w:rPr>
        <w:t>Vibrio alginolyticus</w:t>
      </w:r>
      <w:r w:rsidRPr="008F7301">
        <w:rPr>
          <w:rFonts w:cs="Times New Roman"/>
          <w:noProof/>
          <w:szCs w:val="24"/>
        </w:rPr>
        <w:t xml:space="preserve"> from cultured amphioxus </w:t>
      </w:r>
      <w:r w:rsidRPr="00990F1F">
        <w:rPr>
          <w:rFonts w:cs="Times New Roman"/>
          <w:i/>
          <w:noProof/>
          <w:szCs w:val="24"/>
        </w:rPr>
        <w:t>Branchiostoma belcheri</w:t>
      </w:r>
      <w:r w:rsidRPr="008F7301">
        <w:rPr>
          <w:rFonts w:cs="Times New Roman"/>
          <w:noProof/>
          <w:szCs w:val="24"/>
        </w:rPr>
        <w:t xml:space="preserve"> tsingtauense. </w:t>
      </w:r>
      <w:r w:rsidRPr="008F7301">
        <w:rPr>
          <w:rFonts w:cs="Times New Roman"/>
          <w:i/>
          <w:iCs/>
          <w:noProof/>
          <w:szCs w:val="24"/>
        </w:rPr>
        <w:t>Biol.</w:t>
      </w:r>
      <w:r w:rsidRPr="008F7301">
        <w:rPr>
          <w:rFonts w:cs="Times New Roman"/>
          <w:noProof/>
          <w:szCs w:val="24"/>
        </w:rPr>
        <w:t xml:space="preserve"> 71, 757–762. doi:10.1515/biolog-2016-0102.</w:t>
      </w:r>
    </w:p>
    <w:p w14:paraId="5EE6D50C" w14:textId="77777777" w:rsidR="008F7301" w:rsidRPr="008F7301" w:rsidRDefault="008F7301" w:rsidP="008F7301">
      <w:pPr>
        <w:widowControl w:val="0"/>
        <w:autoSpaceDE w:val="0"/>
        <w:autoSpaceDN w:val="0"/>
        <w:adjustRightInd w:val="0"/>
        <w:ind w:left="480" w:hanging="480"/>
        <w:rPr>
          <w:rFonts w:cs="Times New Roman"/>
          <w:noProof/>
        </w:rPr>
      </w:pPr>
      <w:r w:rsidRPr="008F7301">
        <w:rPr>
          <w:rFonts w:cs="Times New Roman"/>
          <w:noProof/>
          <w:szCs w:val="24"/>
        </w:rPr>
        <w:t xml:space="preserve">Zurel, D., Benayahu, Y., Or, A., Kovacs, A., and Gophna, U. (2011). Composition and dynamics of the gill microbiota of an invasive Indo-Pacific oyster in the eastern Mediterranean Sea. </w:t>
      </w:r>
      <w:r w:rsidRPr="008F7301">
        <w:rPr>
          <w:rFonts w:cs="Times New Roman"/>
          <w:i/>
          <w:iCs/>
          <w:noProof/>
          <w:szCs w:val="24"/>
        </w:rPr>
        <w:t>Environ. Microbiol.</w:t>
      </w:r>
      <w:r w:rsidRPr="008F7301">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a Gomez-Chiarri" w:date="2019-01-21T10:10:00Z" w:initials="MGC">
    <w:p w14:paraId="7BDAF3B6" w14:textId="43065B90" w:rsidR="0021389D" w:rsidRDefault="0021389D">
      <w:pPr>
        <w:pStyle w:val="CommentText"/>
      </w:pPr>
      <w:r>
        <w:rPr>
          <w:rStyle w:val="CommentReference"/>
        </w:rPr>
        <w:annotationRef/>
      </w:r>
      <w:r>
        <w:t>Discuss how we deal with this.  We may have to ask the editor.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AF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AF3B6" w16cid:durableId="1FF18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A13E9" w14:textId="77777777" w:rsidR="00876021" w:rsidRDefault="00876021" w:rsidP="00117666">
      <w:pPr>
        <w:spacing w:after="0"/>
      </w:pPr>
      <w:r>
        <w:separator/>
      </w:r>
    </w:p>
  </w:endnote>
  <w:endnote w:type="continuationSeparator" w:id="0">
    <w:p w14:paraId="295E9B72" w14:textId="77777777" w:rsidR="00876021" w:rsidRDefault="0087602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21389D" w:rsidRPr="00577C4C" w:rsidRDefault="0021389D">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21389D" w:rsidRPr="00577C4C" w:rsidRDefault="0021389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A67735">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D5EDC8F" id="_x0000_t202" coordsize="21600,21600" o:spt="202" path="m0,0l0,21600,21600,21600,2160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" filled="f" stroked="f" strokeweight=".5pt">
              <v:textbox style="mso-fit-shape-to-text:t">
                <w:txbxContent>
                  <w:p w14:paraId="481334B9" w14:textId="4C2A9274"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21389D" w:rsidRPr="00577C4C" w:rsidRDefault="0021389D">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21389D" w:rsidRPr="00577C4C" w:rsidRDefault="0021389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A67735">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DD54718" id="_x0000_t202" coordsize="21600,21600" o:spt="202" path="m0,0l0,21600,21600,21600,2160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DfLOzw3AgAAaAQAAA4AAAAAAAAAAAAAAAAALAIA&#10;AGRycy9lMm9Eb2MueG1sUEsBAi0AFAAGAAgAAAAhADk/ZFHZAAAABAEAAA8AAAAAAAAAAAAAAAAA&#10;jwQAAGRycy9kb3ducmV2LnhtbFBLBQYAAAAABAAEAPMAAACVBQAAAAA=&#10;" filled="f" stroked="f" strokeweight=".5pt">
              <v:textbox style="mso-fit-shape-to-text:t">
                <w:txbxContent>
                  <w:p w14:paraId="0CE55241" w14:textId="00D14E2C"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7189" w14:textId="77777777" w:rsidR="00876021" w:rsidRDefault="00876021" w:rsidP="00117666">
      <w:pPr>
        <w:spacing w:after="0"/>
      </w:pPr>
      <w:r>
        <w:separator/>
      </w:r>
    </w:p>
  </w:footnote>
  <w:footnote w:type="continuationSeparator" w:id="0">
    <w:p w14:paraId="2C64F040" w14:textId="77777777" w:rsidR="00876021" w:rsidRDefault="0087602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21389D" w:rsidRPr="007E3148" w:rsidRDefault="0021389D"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21389D" w:rsidRPr="00A849B0" w:rsidRDefault="0021389D"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21389D" w:rsidRDefault="0021389D"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7B6E"/>
    <w:rsid w:val="0002018A"/>
    <w:rsid w:val="000204B7"/>
    <w:rsid w:val="00021153"/>
    <w:rsid w:val="00021A22"/>
    <w:rsid w:val="00021B3E"/>
    <w:rsid w:val="00022D41"/>
    <w:rsid w:val="000259A6"/>
    <w:rsid w:val="000267DA"/>
    <w:rsid w:val="00026D10"/>
    <w:rsid w:val="0003008B"/>
    <w:rsid w:val="00030625"/>
    <w:rsid w:val="00031091"/>
    <w:rsid w:val="00034304"/>
    <w:rsid w:val="0003441F"/>
    <w:rsid w:val="00035434"/>
    <w:rsid w:val="0003677D"/>
    <w:rsid w:val="00036E85"/>
    <w:rsid w:val="00036FE9"/>
    <w:rsid w:val="000371B3"/>
    <w:rsid w:val="00037A67"/>
    <w:rsid w:val="0004049B"/>
    <w:rsid w:val="0004174F"/>
    <w:rsid w:val="0004246A"/>
    <w:rsid w:val="00042C93"/>
    <w:rsid w:val="000432F8"/>
    <w:rsid w:val="00043989"/>
    <w:rsid w:val="00045678"/>
    <w:rsid w:val="000458E4"/>
    <w:rsid w:val="00046437"/>
    <w:rsid w:val="000466FB"/>
    <w:rsid w:val="0004740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784C"/>
    <w:rsid w:val="00067F03"/>
    <w:rsid w:val="0007021A"/>
    <w:rsid w:val="00071F4A"/>
    <w:rsid w:val="000724E5"/>
    <w:rsid w:val="00072CD2"/>
    <w:rsid w:val="0007306D"/>
    <w:rsid w:val="00075E17"/>
    <w:rsid w:val="00077821"/>
    <w:rsid w:val="00077D53"/>
    <w:rsid w:val="00077F78"/>
    <w:rsid w:val="00081394"/>
    <w:rsid w:val="00082106"/>
    <w:rsid w:val="0008244D"/>
    <w:rsid w:val="00082BA0"/>
    <w:rsid w:val="00084925"/>
    <w:rsid w:val="00090F42"/>
    <w:rsid w:val="00091BC5"/>
    <w:rsid w:val="00093207"/>
    <w:rsid w:val="00093BBF"/>
    <w:rsid w:val="0009511A"/>
    <w:rsid w:val="0009636C"/>
    <w:rsid w:val="000965AA"/>
    <w:rsid w:val="00096AA7"/>
    <w:rsid w:val="000977F0"/>
    <w:rsid w:val="000A04FF"/>
    <w:rsid w:val="000A2639"/>
    <w:rsid w:val="000A2F6A"/>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85E"/>
    <w:rsid w:val="000D633A"/>
    <w:rsid w:val="000D6B50"/>
    <w:rsid w:val="000D73C1"/>
    <w:rsid w:val="000D7A12"/>
    <w:rsid w:val="000E0D39"/>
    <w:rsid w:val="000E0E22"/>
    <w:rsid w:val="000E1786"/>
    <w:rsid w:val="000E1A35"/>
    <w:rsid w:val="000E2F3B"/>
    <w:rsid w:val="000E2FA7"/>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EEE"/>
    <w:rsid w:val="000F7F06"/>
    <w:rsid w:val="0010032A"/>
    <w:rsid w:val="00101703"/>
    <w:rsid w:val="00102A06"/>
    <w:rsid w:val="00105E7C"/>
    <w:rsid w:val="00111797"/>
    <w:rsid w:val="00111D7E"/>
    <w:rsid w:val="00111ED0"/>
    <w:rsid w:val="0011288C"/>
    <w:rsid w:val="00113401"/>
    <w:rsid w:val="00117666"/>
    <w:rsid w:val="00120487"/>
    <w:rsid w:val="00120B5A"/>
    <w:rsid w:val="0012239F"/>
    <w:rsid w:val="001223A7"/>
    <w:rsid w:val="00123348"/>
    <w:rsid w:val="00123436"/>
    <w:rsid w:val="00125A34"/>
    <w:rsid w:val="0012765D"/>
    <w:rsid w:val="00130DB8"/>
    <w:rsid w:val="0013116A"/>
    <w:rsid w:val="0013337E"/>
    <w:rsid w:val="00133435"/>
    <w:rsid w:val="00134256"/>
    <w:rsid w:val="001358F8"/>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70E6F"/>
    <w:rsid w:val="00171FE8"/>
    <w:rsid w:val="001738CB"/>
    <w:rsid w:val="00174B53"/>
    <w:rsid w:val="00176B3E"/>
    <w:rsid w:val="0017778B"/>
    <w:rsid w:val="00177D84"/>
    <w:rsid w:val="00181346"/>
    <w:rsid w:val="00181784"/>
    <w:rsid w:val="001833D1"/>
    <w:rsid w:val="0018444C"/>
    <w:rsid w:val="00187EA7"/>
    <w:rsid w:val="00192443"/>
    <w:rsid w:val="00192704"/>
    <w:rsid w:val="00193231"/>
    <w:rsid w:val="00194854"/>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1A2C"/>
    <w:rsid w:val="001B2770"/>
    <w:rsid w:val="001B32B1"/>
    <w:rsid w:val="001B3790"/>
    <w:rsid w:val="001B391F"/>
    <w:rsid w:val="001B48EA"/>
    <w:rsid w:val="001B5912"/>
    <w:rsid w:val="001B5FE3"/>
    <w:rsid w:val="001B718C"/>
    <w:rsid w:val="001C0A6F"/>
    <w:rsid w:val="001C1882"/>
    <w:rsid w:val="001C19FF"/>
    <w:rsid w:val="001C2ED3"/>
    <w:rsid w:val="001C354F"/>
    <w:rsid w:val="001C3E31"/>
    <w:rsid w:val="001C488B"/>
    <w:rsid w:val="001C67BA"/>
    <w:rsid w:val="001C6B1D"/>
    <w:rsid w:val="001C73AE"/>
    <w:rsid w:val="001D0F9C"/>
    <w:rsid w:val="001D1096"/>
    <w:rsid w:val="001D18D0"/>
    <w:rsid w:val="001D5C23"/>
    <w:rsid w:val="001D622F"/>
    <w:rsid w:val="001E11C7"/>
    <w:rsid w:val="001E152B"/>
    <w:rsid w:val="001E2FDF"/>
    <w:rsid w:val="001E6635"/>
    <w:rsid w:val="001E766B"/>
    <w:rsid w:val="001F3AC5"/>
    <w:rsid w:val="001F3F97"/>
    <w:rsid w:val="001F4C07"/>
    <w:rsid w:val="001F6293"/>
    <w:rsid w:val="001F68A5"/>
    <w:rsid w:val="001F6AF1"/>
    <w:rsid w:val="001F6C06"/>
    <w:rsid w:val="001F764E"/>
    <w:rsid w:val="00202486"/>
    <w:rsid w:val="00202546"/>
    <w:rsid w:val="00203E2A"/>
    <w:rsid w:val="00204FC0"/>
    <w:rsid w:val="002068E1"/>
    <w:rsid w:val="00207716"/>
    <w:rsid w:val="00211951"/>
    <w:rsid w:val="0021389D"/>
    <w:rsid w:val="002140D2"/>
    <w:rsid w:val="00214212"/>
    <w:rsid w:val="002145CA"/>
    <w:rsid w:val="0022017E"/>
    <w:rsid w:val="00220AEA"/>
    <w:rsid w:val="00221E39"/>
    <w:rsid w:val="00226954"/>
    <w:rsid w:val="0022713B"/>
    <w:rsid w:val="00227C57"/>
    <w:rsid w:val="00230BC4"/>
    <w:rsid w:val="00231543"/>
    <w:rsid w:val="00231AF7"/>
    <w:rsid w:val="0023270C"/>
    <w:rsid w:val="00232B24"/>
    <w:rsid w:val="00234C81"/>
    <w:rsid w:val="00240612"/>
    <w:rsid w:val="00242E6E"/>
    <w:rsid w:val="00243241"/>
    <w:rsid w:val="00243364"/>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5AE6"/>
    <w:rsid w:val="002767E5"/>
    <w:rsid w:val="00276F7D"/>
    <w:rsid w:val="00277EDD"/>
    <w:rsid w:val="00283096"/>
    <w:rsid w:val="0028502E"/>
    <w:rsid w:val="00285C9E"/>
    <w:rsid w:val="002868E2"/>
    <w:rsid w:val="002869C3"/>
    <w:rsid w:val="00291C46"/>
    <w:rsid w:val="00292114"/>
    <w:rsid w:val="00292F18"/>
    <w:rsid w:val="002936E4"/>
    <w:rsid w:val="002937BF"/>
    <w:rsid w:val="0029514E"/>
    <w:rsid w:val="002964F8"/>
    <w:rsid w:val="00296B88"/>
    <w:rsid w:val="00296B99"/>
    <w:rsid w:val="00296F62"/>
    <w:rsid w:val="002A038F"/>
    <w:rsid w:val="002A0BFE"/>
    <w:rsid w:val="002A38D9"/>
    <w:rsid w:val="002A3E66"/>
    <w:rsid w:val="002A5C9A"/>
    <w:rsid w:val="002A6348"/>
    <w:rsid w:val="002A6BEA"/>
    <w:rsid w:val="002A729A"/>
    <w:rsid w:val="002B1004"/>
    <w:rsid w:val="002B17BD"/>
    <w:rsid w:val="002B224F"/>
    <w:rsid w:val="002B39AE"/>
    <w:rsid w:val="002B4373"/>
    <w:rsid w:val="002B4554"/>
    <w:rsid w:val="002B6BBB"/>
    <w:rsid w:val="002B7476"/>
    <w:rsid w:val="002B7CEE"/>
    <w:rsid w:val="002C1FD9"/>
    <w:rsid w:val="002C2EF4"/>
    <w:rsid w:val="002C2F8B"/>
    <w:rsid w:val="002C38E2"/>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3765"/>
    <w:rsid w:val="002F744D"/>
    <w:rsid w:val="00300017"/>
    <w:rsid w:val="00301B23"/>
    <w:rsid w:val="0030386E"/>
    <w:rsid w:val="00303DE6"/>
    <w:rsid w:val="00303F69"/>
    <w:rsid w:val="00304EF0"/>
    <w:rsid w:val="003051EB"/>
    <w:rsid w:val="0030607B"/>
    <w:rsid w:val="00306F06"/>
    <w:rsid w:val="00307397"/>
    <w:rsid w:val="00307C9A"/>
    <w:rsid w:val="00310124"/>
    <w:rsid w:val="0031142D"/>
    <w:rsid w:val="0031165C"/>
    <w:rsid w:val="00311B61"/>
    <w:rsid w:val="00315BB8"/>
    <w:rsid w:val="0031664E"/>
    <w:rsid w:val="00317C79"/>
    <w:rsid w:val="00320538"/>
    <w:rsid w:val="0032112E"/>
    <w:rsid w:val="003212D3"/>
    <w:rsid w:val="00321CAC"/>
    <w:rsid w:val="003221A4"/>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37A"/>
    <w:rsid w:val="0036793B"/>
    <w:rsid w:val="0037015D"/>
    <w:rsid w:val="00372682"/>
    <w:rsid w:val="003757F2"/>
    <w:rsid w:val="00376CC5"/>
    <w:rsid w:val="003821CB"/>
    <w:rsid w:val="0038579E"/>
    <w:rsid w:val="00386B96"/>
    <w:rsid w:val="00387DB5"/>
    <w:rsid w:val="00390A87"/>
    <w:rsid w:val="0039104C"/>
    <w:rsid w:val="00391630"/>
    <w:rsid w:val="003925DE"/>
    <w:rsid w:val="00394062"/>
    <w:rsid w:val="0039693B"/>
    <w:rsid w:val="00396EDA"/>
    <w:rsid w:val="0039700E"/>
    <w:rsid w:val="003978D5"/>
    <w:rsid w:val="003A1B46"/>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A60"/>
    <w:rsid w:val="003D3F5D"/>
    <w:rsid w:val="003D7DC2"/>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77BF"/>
    <w:rsid w:val="00407B85"/>
    <w:rsid w:val="00410DE0"/>
    <w:rsid w:val="0041121E"/>
    <w:rsid w:val="004112BF"/>
    <w:rsid w:val="00413789"/>
    <w:rsid w:val="00413ECB"/>
    <w:rsid w:val="00415203"/>
    <w:rsid w:val="00416102"/>
    <w:rsid w:val="004163E4"/>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6C"/>
    <w:rsid w:val="00434AD1"/>
    <w:rsid w:val="00434B54"/>
    <w:rsid w:val="00436100"/>
    <w:rsid w:val="004405CD"/>
    <w:rsid w:val="00442DE9"/>
    <w:rsid w:val="0044450D"/>
    <w:rsid w:val="00444F27"/>
    <w:rsid w:val="004454A0"/>
    <w:rsid w:val="00445525"/>
    <w:rsid w:val="004455B7"/>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5D9C"/>
    <w:rsid w:val="00476CA1"/>
    <w:rsid w:val="00477CE6"/>
    <w:rsid w:val="0048246A"/>
    <w:rsid w:val="00482629"/>
    <w:rsid w:val="0048337A"/>
    <w:rsid w:val="00484A45"/>
    <w:rsid w:val="00484D52"/>
    <w:rsid w:val="00486303"/>
    <w:rsid w:val="004867A5"/>
    <w:rsid w:val="00486E2C"/>
    <w:rsid w:val="00490087"/>
    <w:rsid w:val="00491355"/>
    <w:rsid w:val="00491748"/>
    <w:rsid w:val="004917B1"/>
    <w:rsid w:val="00492334"/>
    <w:rsid w:val="00492644"/>
    <w:rsid w:val="00492CA9"/>
    <w:rsid w:val="00495408"/>
    <w:rsid w:val="00496B15"/>
    <w:rsid w:val="0049721A"/>
    <w:rsid w:val="004A02FD"/>
    <w:rsid w:val="004A0649"/>
    <w:rsid w:val="004A0D42"/>
    <w:rsid w:val="004A16B4"/>
    <w:rsid w:val="004A1BF2"/>
    <w:rsid w:val="004A2B6D"/>
    <w:rsid w:val="004A360C"/>
    <w:rsid w:val="004A53C4"/>
    <w:rsid w:val="004A53FC"/>
    <w:rsid w:val="004A5E8B"/>
    <w:rsid w:val="004A6B35"/>
    <w:rsid w:val="004B198F"/>
    <w:rsid w:val="004B2FF3"/>
    <w:rsid w:val="004B3786"/>
    <w:rsid w:val="004B495B"/>
    <w:rsid w:val="004C0C21"/>
    <w:rsid w:val="004C1BD7"/>
    <w:rsid w:val="004C20B7"/>
    <w:rsid w:val="004C3963"/>
    <w:rsid w:val="004C3BA7"/>
    <w:rsid w:val="004D05C3"/>
    <w:rsid w:val="004D073C"/>
    <w:rsid w:val="004D0F48"/>
    <w:rsid w:val="004D2C70"/>
    <w:rsid w:val="004D3E33"/>
    <w:rsid w:val="004E0132"/>
    <w:rsid w:val="004E0786"/>
    <w:rsid w:val="004E1BA0"/>
    <w:rsid w:val="004E29C9"/>
    <w:rsid w:val="004E3005"/>
    <w:rsid w:val="004E421A"/>
    <w:rsid w:val="004E4BB4"/>
    <w:rsid w:val="004E4E84"/>
    <w:rsid w:val="004E51BD"/>
    <w:rsid w:val="004E749C"/>
    <w:rsid w:val="004E7D4E"/>
    <w:rsid w:val="004F009A"/>
    <w:rsid w:val="004F078E"/>
    <w:rsid w:val="004F1C1D"/>
    <w:rsid w:val="004F206E"/>
    <w:rsid w:val="004F777F"/>
    <w:rsid w:val="004F796D"/>
    <w:rsid w:val="00500865"/>
    <w:rsid w:val="005023BF"/>
    <w:rsid w:val="0050303F"/>
    <w:rsid w:val="00503795"/>
    <w:rsid w:val="00503C11"/>
    <w:rsid w:val="0050466A"/>
    <w:rsid w:val="0050612C"/>
    <w:rsid w:val="0050765F"/>
    <w:rsid w:val="00507DBC"/>
    <w:rsid w:val="00511752"/>
    <w:rsid w:val="00512B15"/>
    <w:rsid w:val="00513CF6"/>
    <w:rsid w:val="0051440C"/>
    <w:rsid w:val="005151BE"/>
    <w:rsid w:val="00522478"/>
    <w:rsid w:val="0052342D"/>
    <w:rsid w:val="005250F2"/>
    <w:rsid w:val="00525E94"/>
    <w:rsid w:val="00526FB4"/>
    <w:rsid w:val="005276CA"/>
    <w:rsid w:val="00530C47"/>
    <w:rsid w:val="005324C0"/>
    <w:rsid w:val="005331B9"/>
    <w:rsid w:val="00533D5E"/>
    <w:rsid w:val="00533FED"/>
    <w:rsid w:val="00534801"/>
    <w:rsid w:val="00534DFA"/>
    <w:rsid w:val="0053671E"/>
    <w:rsid w:val="00537061"/>
    <w:rsid w:val="00541624"/>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80ADB"/>
    <w:rsid w:val="005834DC"/>
    <w:rsid w:val="0059196C"/>
    <w:rsid w:val="005938A4"/>
    <w:rsid w:val="00594686"/>
    <w:rsid w:val="005954B8"/>
    <w:rsid w:val="00595C33"/>
    <w:rsid w:val="005A020A"/>
    <w:rsid w:val="005A128C"/>
    <w:rsid w:val="005A1697"/>
    <w:rsid w:val="005A1D84"/>
    <w:rsid w:val="005A36CA"/>
    <w:rsid w:val="005A3731"/>
    <w:rsid w:val="005A4881"/>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E71D4"/>
    <w:rsid w:val="005F0603"/>
    <w:rsid w:val="005F0BA1"/>
    <w:rsid w:val="005F0DBC"/>
    <w:rsid w:val="005F3700"/>
    <w:rsid w:val="005F5491"/>
    <w:rsid w:val="005F6066"/>
    <w:rsid w:val="005F6C05"/>
    <w:rsid w:val="005F76F9"/>
    <w:rsid w:val="00600D3D"/>
    <w:rsid w:val="006011B0"/>
    <w:rsid w:val="0060450F"/>
    <w:rsid w:val="00606FDB"/>
    <w:rsid w:val="0061055B"/>
    <w:rsid w:val="00611015"/>
    <w:rsid w:val="00611873"/>
    <w:rsid w:val="00613512"/>
    <w:rsid w:val="006149B5"/>
    <w:rsid w:val="006151EA"/>
    <w:rsid w:val="00616D5D"/>
    <w:rsid w:val="006203D2"/>
    <w:rsid w:val="0062154F"/>
    <w:rsid w:val="00622D90"/>
    <w:rsid w:val="00623F74"/>
    <w:rsid w:val="0062428A"/>
    <w:rsid w:val="00624FE3"/>
    <w:rsid w:val="00626153"/>
    <w:rsid w:val="00626B52"/>
    <w:rsid w:val="0063007B"/>
    <w:rsid w:val="0063026B"/>
    <w:rsid w:val="006310E3"/>
    <w:rsid w:val="00631A8C"/>
    <w:rsid w:val="00634555"/>
    <w:rsid w:val="006345BD"/>
    <w:rsid w:val="0064111E"/>
    <w:rsid w:val="00642A9C"/>
    <w:rsid w:val="00643BA1"/>
    <w:rsid w:val="006457B7"/>
    <w:rsid w:val="00646547"/>
    <w:rsid w:val="00651CA2"/>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11C1"/>
    <w:rsid w:val="00681D93"/>
    <w:rsid w:val="00683399"/>
    <w:rsid w:val="006834F2"/>
    <w:rsid w:val="00683E78"/>
    <w:rsid w:val="006842D8"/>
    <w:rsid w:val="00684303"/>
    <w:rsid w:val="00686B93"/>
    <w:rsid w:val="00686C9D"/>
    <w:rsid w:val="00690F89"/>
    <w:rsid w:val="0069383C"/>
    <w:rsid w:val="0069445E"/>
    <w:rsid w:val="00694D2C"/>
    <w:rsid w:val="00696775"/>
    <w:rsid w:val="006A232A"/>
    <w:rsid w:val="006A2586"/>
    <w:rsid w:val="006A3C43"/>
    <w:rsid w:val="006A4BCF"/>
    <w:rsid w:val="006A4CDF"/>
    <w:rsid w:val="006A5A27"/>
    <w:rsid w:val="006A63B9"/>
    <w:rsid w:val="006A749B"/>
    <w:rsid w:val="006A7DDD"/>
    <w:rsid w:val="006B11F9"/>
    <w:rsid w:val="006B2D5B"/>
    <w:rsid w:val="006B4E2D"/>
    <w:rsid w:val="006B7D14"/>
    <w:rsid w:val="006C63F3"/>
    <w:rsid w:val="006C7BF0"/>
    <w:rsid w:val="006D0B2F"/>
    <w:rsid w:val="006D2426"/>
    <w:rsid w:val="006D2A89"/>
    <w:rsid w:val="006D4319"/>
    <w:rsid w:val="006D51B2"/>
    <w:rsid w:val="006D5B93"/>
    <w:rsid w:val="006D7D9E"/>
    <w:rsid w:val="006E149A"/>
    <w:rsid w:val="006E1ED2"/>
    <w:rsid w:val="006E43E8"/>
    <w:rsid w:val="006E4736"/>
    <w:rsid w:val="006E4EDB"/>
    <w:rsid w:val="006E557E"/>
    <w:rsid w:val="006E5CE2"/>
    <w:rsid w:val="006E6EF3"/>
    <w:rsid w:val="006F1906"/>
    <w:rsid w:val="006F317A"/>
    <w:rsid w:val="006F4B5D"/>
    <w:rsid w:val="007003AE"/>
    <w:rsid w:val="0070167C"/>
    <w:rsid w:val="0070477B"/>
    <w:rsid w:val="00707B04"/>
    <w:rsid w:val="0071170B"/>
    <w:rsid w:val="00712974"/>
    <w:rsid w:val="007133FA"/>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2BC6"/>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46D"/>
    <w:rsid w:val="007814D7"/>
    <w:rsid w:val="00781820"/>
    <w:rsid w:val="007822D3"/>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25F8"/>
    <w:rsid w:val="007F38A6"/>
    <w:rsid w:val="007F3B60"/>
    <w:rsid w:val="007F6720"/>
    <w:rsid w:val="007F6A2D"/>
    <w:rsid w:val="008017B2"/>
    <w:rsid w:val="00801F30"/>
    <w:rsid w:val="0080332D"/>
    <w:rsid w:val="00804C9E"/>
    <w:rsid w:val="008055A4"/>
    <w:rsid w:val="00806109"/>
    <w:rsid w:val="00810C32"/>
    <w:rsid w:val="008111E4"/>
    <w:rsid w:val="00811AF6"/>
    <w:rsid w:val="0081301C"/>
    <w:rsid w:val="00814F4E"/>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5650"/>
    <w:rsid w:val="0084639F"/>
    <w:rsid w:val="00850077"/>
    <w:rsid w:val="00850572"/>
    <w:rsid w:val="00850AA9"/>
    <w:rsid w:val="008536BA"/>
    <w:rsid w:val="0085658A"/>
    <w:rsid w:val="0086048D"/>
    <w:rsid w:val="0086223A"/>
    <w:rsid w:val="008629A9"/>
    <w:rsid w:val="00864A4D"/>
    <w:rsid w:val="0086579B"/>
    <w:rsid w:val="00866D98"/>
    <w:rsid w:val="0087051C"/>
    <w:rsid w:val="00871C01"/>
    <w:rsid w:val="00875E2D"/>
    <w:rsid w:val="0087602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57EA"/>
    <w:rsid w:val="008D5842"/>
    <w:rsid w:val="008D5D17"/>
    <w:rsid w:val="008D5FEF"/>
    <w:rsid w:val="008D6C8D"/>
    <w:rsid w:val="008D781E"/>
    <w:rsid w:val="008E0048"/>
    <w:rsid w:val="008E031C"/>
    <w:rsid w:val="008E0862"/>
    <w:rsid w:val="008E2ACB"/>
    <w:rsid w:val="008E2B54"/>
    <w:rsid w:val="008E4404"/>
    <w:rsid w:val="008E49A4"/>
    <w:rsid w:val="008E4F63"/>
    <w:rsid w:val="008E58C7"/>
    <w:rsid w:val="008E5905"/>
    <w:rsid w:val="008E5A9E"/>
    <w:rsid w:val="008E6099"/>
    <w:rsid w:val="008F00C0"/>
    <w:rsid w:val="008F1024"/>
    <w:rsid w:val="008F10EE"/>
    <w:rsid w:val="008F3326"/>
    <w:rsid w:val="008F4D70"/>
    <w:rsid w:val="008F5021"/>
    <w:rsid w:val="008F57C2"/>
    <w:rsid w:val="008F5E50"/>
    <w:rsid w:val="008F7301"/>
    <w:rsid w:val="00902313"/>
    <w:rsid w:val="00902A49"/>
    <w:rsid w:val="00906492"/>
    <w:rsid w:val="00907094"/>
    <w:rsid w:val="00907818"/>
    <w:rsid w:val="00910465"/>
    <w:rsid w:val="00911ACE"/>
    <w:rsid w:val="009154A3"/>
    <w:rsid w:val="00915762"/>
    <w:rsid w:val="009160DF"/>
    <w:rsid w:val="00916D86"/>
    <w:rsid w:val="00921E45"/>
    <w:rsid w:val="00921E9C"/>
    <w:rsid w:val="0092275A"/>
    <w:rsid w:val="009232D9"/>
    <w:rsid w:val="00923A9B"/>
    <w:rsid w:val="00924A9B"/>
    <w:rsid w:val="009256EF"/>
    <w:rsid w:val="009278E0"/>
    <w:rsid w:val="0093020B"/>
    <w:rsid w:val="0093091D"/>
    <w:rsid w:val="0093230C"/>
    <w:rsid w:val="00933C79"/>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6297"/>
    <w:rsid w:val="00966839"/>
    <w:rsid w:val="009701BD"/>
    <w:rsid w:val="00970405"/>
    <w:rsid w:val="0097082A"/>
    <w:rsid w:val="00971AD7"/>
    <w:rsid w:val="00971B61"/>
    <w:rsid w:val="0097476E"/>
    <w:rsid w:val="00974971"/>
    <w:rsid w:val="009750A8"/>
    <w:rsid w:val="00980344"/>
    <w:rsid w:val="00980C31"/>
    <w:rsid w:val="009818D8"/>
    <w:rsid w:val="0098238B"/>
    <w:rsid w:val="009879DB"/>
    <w:rsid w:val="00987C37"/>
    <w:rsid w:val="0099098E"/>
    <w:rsid w:val="00990F1F"/>
    <w:rsid w:val="009955FF"/>
    <w:rsid w:val="009969E2"/>
    <w:rsid w:val="00996D4B"/>
    <w:rsid w:val="009A1170"/>
    <w:rsid w:val="009A257F"/>
    <w:rsid w:val="009A395B"/>
    <w:rsid w:val="009A78CC"/>
    <w:rsid w:val="009A7F2A"/>
    <w:rsid w:val="009B0636"/>
    <w:rsid w:val="009B1146"/>
    <w:rsid w:val="009B1F53"/>
    <w:rsid w:val="009B3C68"/>
    <w:rsid w:val="009B3EBE"/>
    <w:rsid w:val="009B701A"/>
    <w:rsid w:val="009B755D"/>
    <w:rsid w:val="009C4901"/>
    <w:rsid w:val="009C76F3"/>
    <w:rsid w:val="009C7D62"/>
    <w:rsid w:val="009D0B42"/>
    <w:rsid w:val="009D259D"/>
    <w:rsid w:val="009D30C1"/>
    <w:rsid w:val="009D3F41"/>
    <w:rsid w:val="009D6C7B"/>
    <w:rsid w:val="009E1851"/>
    <w:rsid w:val="009E57EB"/>
    <w:rsid w:val="009E5A08"/>
    <w:rsid w:val="009E690A"/>
    <w:rsid w:val="009E6FBA"/>
    <w:rsid w:val="009E7E1F"/>
    <w:rsid w:val="009F1AD4"/>
    <w:rsid w:val="009F2BED"/>
    <w:rsid w:val="009F3069"/>
    <w:rsid w:val="009F3692"/>
    <w:rsid w:val="009F5D2A"/>
    <w:rsid w:val="00A01D82"/>
    <w:rsid w:val="00A039B7"/>
    <w:rsid w:val="00A073D0"/>
    <w:rsid w:val="00A1028F"/>
    <w:rsid w:val="00A11F72"/>
    <w:rsid w:val="00A14A24"/>
    <w:rsid w:val="00A23E33"/>
    <w:rsid w:val="00A24F45"/>
    <w:rsid w:val="00A25117"/>
    <w:rsid w:val="00A27638"/>
    <w:rsid w:val="00A278F0"/>
    <w:rsid w:val="00A315DB"/>
    <w:rsid w:val="00A3318A"/>
    <w:rsid w:val="00A34352"/>
    <w:rsid w:val="00A348D3"/>
    <w:rsid w:val="00A3711A"/>
    <w:rsid w:val="00A3775C"/>
    <w:rsid w:val="00A37FD7"/>
    <w:rsid w:val="00A402ED"/>
    <w:rsid w:val="00A408B9"/>
    <w:rsid w:val="00A41CCC"/>
    <w:rsid w:val="00A43F1F"/>
    <w:rsid w:val="00A46525"/>
    <w:rsid w:val="00A4671A"/>
    <w:rsid w:val="00A47589"/>
    <w:rsid w:val="00A50060"/>
    <w:rsid w:val="00A50B97"/>
    <w:rsid w:val="00A50D9D"/>
    <w:rsid w:val="00A53000"/>
    <w:rsid w:val="00A545C6"/>
    <w:rsid w:val="00A553A0"/>
    <w:rsid w:val="00A56852"/>
    <w:rsid w:val="00A57839"/>
    <w:rsid w:val="00A5799B"/>
    <w:rsid w:val="00A609A7"/>
    <w:rsid w:val="00A63CC2"/>
    <w:rsid w:val="00A6445E"/>
    <w:rsid w:val="00A65668"/>
    <w:rsid w:val="00A65BA5"/>
    <w:rsid w:val="00A668F6"/>
    <w:rsid w:val="00A67735"/>
    <w:rsid w:val="00A70434"/>
    <w:rsid w:val="00A711D7"/>
    <w:rsid w:val="00A71506"/>
    <w:rsid w:val="00A718FD"/>
    <w:rsid w:val="00A72E8A"/>
    <w:rsid w:val="00A73D61"/>
    <w:rsid w:val="00A75F87"/>
    <w:rsid w:val="00A778FD"/>
    <w:rsid w:val="00A8046B"/>
    <w:rsid w:val="00A81F16"/>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20CB"/>
    <w:rsid w:val="00AA2434"/>
    <w:rsid w:val="00AA7AEF"/>
    <w:rsid w:val="00AB3936"/>
    <w:rsid w:val="00AB4053"/>
    <w:rsid w:val="00AB4372"/>
    <w:rsid w:val="00AB5BFC"/>
    <w:rsid w:val="00AB6A34"/>
    <w:rsid w:val="00AB7403"/>
    <w:rsid w:val="00AB7DDB"/>
    <w:rsid w:val="00AB7E36"/>
    <w:rsid w:val="00AC0270"/>
    <w:rsid w:val="00AC064B"/>
    <w:rsid w:val="00AC1410"/>
    <w:rsid w:val="00AC3276"/>
    <w:rsid w:val="00AC3EA3"/>
    <w:rsid w:val="00AC4DDE"/>
    <w:rsid w:val="00AC525C"/>
    <w:rsid w:val="00AC713A"/>
    <w:rsid w:val="00AC792D"/>
    <w:rsid w:val="00AD1872"/>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4394"/>
    <w:rsid w:val="00B15724"/>
    <w:rsid w:val="00B172AA"/>
    <w:rsid w:val="00B174A4"/>
    <w:rsid w:val="00B20A6D"/>
    <w:rsid w:val="00B21482"/>
    <w:rsid w:val="00B214C1"/>
    <w:rsid w:val="00B23463"/>
    <w:rsid w:val="00B24951"/>
    <w:rsid w:val="00B25452"/>
    <w:rsid w:val="00B30DDB"/>
    <w:rsid w:val="00B30F38"/>
    <w:rsid w:val="00B318A1"/>
    <w:rsid w:val="00B31926"/>
    <w:rsid w:val="00B31E2F"/>
    <w:rsid w:val="00B32889"/>
    <w:rsid w:val="00B40FC7"/>
    <w:rsid w:val="00B45B43"/>
    <w:rsid w:val="00B47138"/>
    <w:rsid w:val="00B5173C"/>
    <w:rsid w:val="00B52D21"/>
    <w:rsid w:val="00B5460E"/>
    <w:rsid w:val="00B54621"/>
    <w:rsid w:val="00B55B9E"/>
    <w:rsid w:val="00B56B06"/>
    <w:rsid w:val="00B57862"/>
    <w:rsid w:val="00B600A4"/>
    <w:rsid w:val="00B632D9"/>
    <w:rsid w:val="00B63EE0"/>
    <w:rsid w:val="00B64791"/>
    <w:rsid w:val="00B657B8"/>
    <w:rsid w:val="00B70CBC"/>
    <w:rsid w:val="00B70EA9"/>
    <w:rsid w:val="00B71224"/>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075"/>
    <w:rsid w:val="00BA5D83"/>
    <w:rsid w:val="00BA75F9"/>
    <w:rsid w:val="00BB073F"/>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6A41"/>
    <w:rsid w:val="00BE2867"/>
    <w:rsid w:val="00BE2D1B"/>
    <w:rsid w:val="00BE6CC5"/>
    <w:rsid w:val="00BE71EF"/>
    <w:rsid w:val="00BE7803"/>
    <w:rsid w:val="00BE7C63"/>
    <w:rsid w:val="00BF1E7C"/>
    <w:rsid w:val="00BF1F4D"/>
    <w:rsid w:val="00BF3F0D"/>
    <w:rsid w:val="00BF57B9"/>
    <w:rsid w:val="00BF59BD"/>
    <w:rsid w:val="00BF612D"/>
    <w:rsid w:val="00BF7A1E"/>
    <w:rsid w:val="00C012A3"/>
    <w:rsid w:val="00C023A6"/>
    <w:rsid w:val="00C037E3"/>
    <w:rsid w:val="00C037F2"/>
    <w:rsid w:val="00C040C4"/>
    <w:rsid w:val="00C04171"/>
    <w:rsid w:val="00C04D88"/>
    <w:rsid w:val="00C068FD"/>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263F"/>
    <w:rsid w:val="00C3319D"/>
    <w:rsid w:val="00C343EA"/>
    <w:rsid w:val="00C3573C"/>
    <w:rsid w:val="00C40697"/>
    <w:rsid w:val="00C42299"/>
    <w:rsid w:val="00C4353E"/>
    <w:rsid w:val="00C4480A"/>
    <w:rsid w:val="00C50D9F"/>
    <w:rsid w:val="00C52A7B"/>
    <w:rsid w:val="00C5575E"/>
    <w:rsid w:val="00C57FA4"/>
    <w:rsid w:val="00C61F56"/>
    <w:rsid w:val="00C6324C"/>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4B32"/>
    <w:rsid w:val="00CE4EC1"/>
    <w:rsid w:val="00CE50C8"/>
    <w:rsid w:val="00CE6418"/>
    <w:rsid w:val="00CF02A6"/>
    <w:rsid w:val="00CF05CB"/>
    <w:rsid w:val="00CF0682"/>
    <w:rsid w:val="00CF0985"/>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D25"/>
    <w:rsid w:val="00D76E1D"/>
    <w:rsid w:val="00D80C2A"/>
    <w:rsid w:val="00D80D99"/>
    <w:rsid w:val="00D820F1"/>
    <w:rsid w:val="00D82CD8"/>
    <w:rsid w:val="00D83A8E"/>
    <w:rsid w:val="00D84FAF"/>
    <w:rsid w:val="00D90BED"/>
    <w:rsid w:val="00D91B7E"/>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07CF"/>
    <w:rsid w:val="00DB261C"/>
    <w:rsid w:val="00DB36FB"/>
    <w:rsid w:val="00DB38FD"/>
    <w:rsid w:val="00DB4837"/>
    <w:rsid w:val="00DB6C38"/>
    <w:rsid w:val="00DB75DD"/>
    <w:rsid w:val="00DB764F"/>
    <w:rsid w:val="00DC26E8"/>
    <w:rsid w:val="00DC289B"/>
    <w:rsid w:val="00DC2AD4"/>
    <w:rsid w:val="00DC367D"/>
    <w:rsid w:val="00DC62FA"/>
    <w:rsid w:val="00DC74A9"/>
    <w:rsid w:val="00DD2DDA"/>
    <w:rsid w:val="00DD3304"/>
    <w:rsid w:val="00DD3FC4"/>
    <w:rsid w:val="00DD4543"/>
    <w:rsid w:val="00DD73EF"/>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6FCF"/>
    <w:rsid w:val="00E1022A"/>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1ED"/>
    <w:rsid w:val="00E30706"/>
    <w:rsid w:val="00E32A12"/>
    <w:rsid w:val="00E330E4"/>
    <w:rsid w:val="00E360CC"/>
    <w:rsid w:val="00E37F3C"/>
    <w:rsid w:val="00E40542"/>
    <w:rsid w:val="00E42655"/>
    <w:rsid w:val="00E44EBD"/>
    <w:rsid w:val="00E44EBE"/>
    <w:rsid w:val="00E4502D"/>
    <w:rsid w:val="00E453CE"/>
    <w:rsid w:val="00E466C4"/>
    <w:rsid w:val="00E46D91"/>
    <w:rsid w:val="00E527FE"/>
    <w:rsid w:val="00E54017"/>
    <w:rsid w:val="00E54B77"/>
    <w:rsid w:val="00E55C21"/>
    <w:rsid w:val="00E63C90"/>
    <w:rsid w:val="00E6480F"/>
    <w:rsid w:val="00E64E17"/>
    <w:rsid w:val="00E65AFA"/>
    <w:rsid w:val="00E66754"/>
    <w:rsid w:val="00E66B85"/>
    <w:rsid w:val="00E7115D"/>
    <w:rsid w:val="00E733E9"/>
    <w:rsid w:val="00E734EE"/>
    <w:rsid w:val="00E73C18"/>
    <w:rsid w:val="00E7662E"/>
    <w:rsid w:val="00E76C2C"/>
    <w:rsid w:val="00E77A7C"/>
    <w:rsid w:val="00E80863"/>
    <w:rsid w:val="00E80F38"/>
    <w:rsid w:val="00E83B9F"/>
    <w:rsid w:val="00E84072"/>
    <w:rsid w:val="00E8570B"/>
    <w:rsid w:val="00E87596"/>
    <w:rsid w:val="00E8765D"/>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1868"/>
    <w:rsid w:val="00F0208D"/>
    <w:rsid w:val="00F0390C"/>
    <w:rsid w:val="00F03BC7"/>
    <w:rsid w:val="00F03C0A"/>
    <w:rsid w:val="00F04FB9"/>
    <w:rsid w:val="00F05218"/>
    <w:rsid w:val="00F05E88"/>
    <w:rsid w:val="00F066DD"/>
    <w:rsid w:val="00F0685F"/>
    <w:rsid w:val="00F10E07"/>
    <w:rsid w:val="00F13AEA"/>
    <w:rsid w:val="00F14352"/>
    <w:rsid w:val="00F17E04"/>
    <w:rsid w:val="00F20A61"/>
    <w:rsid w:val="00F20B9C"/>
    <w:rsid w:val="00F23211"/>
    <w:rsid w:val="00F24D9E"/>
    <w:rsid w:val="00F259E5"/>
    <w:rsid w:val="00F25B55"/>
    <w:rsid w:val="00F30245"/>
    <w:rsid w:val="00F305C6"/>
    <w:rsid w:val="00F3103A"/>
    <w:rsid w:val="00F32FAE"/>
    <w:rsid w:val="00F3656E"/>
    <w:rsid w:val="00F458A4"/>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D6E"/>
    <w:rsid w:val="00F82FFA"/>
    <w:rsid w:val="00F84351"/>
    <w:rsid w:val="00F8534C"/>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C7CDC"/>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170E58-D8C8-456C-9132-2D6C30E0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18</Pages>
  <Words>47516</Words>
  <Characters>270844</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73</cp:revision>
  <cp:lastPrinted>2018-04-12T18:07:00Z</cp:lastPrinted>
  <dcterms:created xsi:type="dcterms:W3CDTF">2019-01-22T16:46:00Z</dcterms:created>
  <dcterms:modified xsi:type="dcterms:W3CDTF">2019-01-22T19:36:00Z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