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commentRangeStart w:id="0"/>
      <w:proofErr w:type="spellStart"/>
      <w:r w:rsidRPr="00CD56D4">
        <w:rPr>
          <w:bCs/>
        </w:rPr>
        <w:t>Saebom</w:t>
      </w:r>
      <w:proofErr w:type="spellEnd"/>
      <w:r w:rsidRPr="00CD56D4">
        <w:rPr>
          <w:bCs/>
        </w:rPr>
        <w:t xml:space="preserve"> Sohn</w:t>
      </w:r>
      <w:commentRangeEnd w:id="0"/>
      <w:r w:rsidR="00C50D9F">
        <w:rPr>
          <w:rStyle w:val="CommentReference"/>
          <w:rFonts w:cstheme="minorBidi"/>
          <w:b w:val="0"/>
        </w:rPr>
        <w:commentReference w:id="0"/>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commentRangeStart w:id="1"/>
      <w:r w:rsidR="00120B5A">
        <w:rPr>
          <w:bCs/>
        </w:rPr>
        <w:t>Karin Tammi</w:t>
      </w:r>
      <w:r w:rsidR="00120B5A" w:rsidRPr="00CD56D4">
        <w:rPr>
          <w:bCs/>
          <w:vertAlign w:val="superscript"/>
        </w:rPr>
        <w:t>5</w:t>
      </w:r>
      <w:commentRangeEnd w:id="1"/>
      <w:r w:rsidR="00952619">
        <w:rPr>
          <w:rStyle w:val="CommentReference"/>
          <w:rFonts w:cstheme="minorBidi"/>
          <w:b w:val="0"/>
        </w:rPr>
        <w:commentReference w:id="1"/>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0BB65D7A" w:rsidR="002F13CE" w:rsidRPr="00CD56D4" w:rsidRDefault="002F13CE" w:rsidP="002F13CE">
      <w:pPr>
        <w:spacing w:after="0"/>
        <w:rPr>
          <w:rFonts w:cs="Times New Roman"/>
        </w:rPr>
      </w:pPr>
      <w:commentRangeStart w:id="2"/>
      <w:r w:rsidRPr="00CD56D4">
        <w:rPr>
          <w:rFonts w:cs="Times New Roman"/>
          <w:vertAlign w:val="superscript"/>
        </w:rPr>
        <w:t>6</w:t>
      </w:r>
      <w:r w:rsidRPr="00CD56D4">
        <w:rPr>
          <w:rFonts w:cs="Times New Roman"/>
        </w:rPr>
        <w:t>Florida Atlantic University,</w:t>
      </w:r>
      <w:r w:rsidR="00952619">
        <w:rPr>
          <w:rFonts w:cs="Times New Roman"/>
        </w:rPr>
        <w:t xml:space="preserve"> Boca Raton</w:t>
      </w:r>
      <w:r w:rsidRPr="00CD56D4">
        <w:rPr>
          <w:rFonts w:cs="Times New Roman"/>
        </w:rPr>
        <w:t>, FL</w:t>
      </w:r>
      <w:r>
        <w:rPr>
          <w:rFonts w:cs="Times New Roman"/>
        </w:rPr>
        <w:t>, USA</w:t>
      </w:r>
      <w:commentRangeEnd w:id="2"/>
      <w:r w:rsidR="00F77E49">
        <w:rPr>
          <w:rStyle w:val="CommentReference"/>
        </w:rPr>
        <w:commentReference w:id="2"/>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04C3E988" w14:textId="58C175A6" w:rsidR="00EA3D3C" w:rsidRDefault="005433E4" w:rsidP="00147395">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w:t>
      </w:r>
      <w:bookmarkStart w:id="3" w:name="_GoBack"/>
      <w:bookmarkEnd w:id="3"/>
      <w:r>
        <w:rPr>
          <w:color w:val="000000"/>
        </w:rPr>
        <w:t xml:space="preserve">r hatchery over a 12-day period following spawning. Samples were analyzed by 16S rDNA sequencing of the V4 or V6 regions followed by taxonomic classification, in order to determine bacterial community structures.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 Co-occurrence network analysis suggests that probiotic treatments have a systematic effect on bacterial community structures, mediated through select taxa associated with the probiotic target species.</w:t>
      </w:r>
    </w:p>
    <w:p w14:paraId="7A163CD4" w14:textId="3802A164" w:rsidR="002E5918" w:rsidRDefault="002E5918" w:rsidP="00147395">
      <w:pPr>
        <w:rPr>
          <w:szCs w:val="24"/>
        </w:rPr>
      </w:pPr>
    </w:p>
    <w:p w14:paraId="57F65677" w14:textId="77777777" w:rsidR="00B7331C" w:rsidRDefault="00B7331C" w:rsidP="00147395">
      <w:pPr>
        <w:rPr>
          <w:szCs w:val="24"/>
        </w:rPr>
      </w:pPr>
    </w:p>
    <w:p w14:paraId="2595A492" w14:textId="77777777" w:rsidR="005433E4" w:rsidRDefault="005433E4">
      <w:pPr>
        <w:spacing w:before="0" w:after="200" w:line="276" w:lineRule="auto"/>
        <w:rPr>
          <w:rFonts w:eastAsia="Cambria" w:cs="Times New Roman"/>
          <w:b/>
          <w:szCs w:val="24"/>
        </w:rPr>
      </w:pPr>
      <w:r>
        <w:br w:type="page"/>
      </w:r>
    </w:p>
    <w:p w14:paraId="17274318" w14:textId="11B3461E" w:rsidR="00B07448" w:rsidRDefault="00EA3D3C" w:rsidP="00B07448">
      <w:pPr>
        <w:pStyle w:val="Heading1"/>
      </w:pPr>
      <w:r w:rsidRPr="00376CC5">
        <w:lastRenderedPageBreak/>
        <w:t>Introduction</w:t>
      </w:r>
    </w:p>
    <w:p w14:paraId="0C6C895D" w14:textId="40545583"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$1.</w:t>
      </w:r>
      <w:commentRangeStart w:id="4"/>
      <w:commentRangeStart w:id="5"/>
      <w:r>
        <w:t>57</w:t>
      </w:r>
      <w:commentRangeEnd w:id="4"/>
      <w:r w:rsidR="004209C4">
        <w:rPr>
          <w:rStyle w:val="CommentReference"/>
        </w:rPr>
        <w:commentReference w:id="4"/>
      </w:r>
      <w:commentRangeEnd w:id="5"/>
      <w:r w:rsidR="005433E4">
        <w:rPr>
          <w:rStyle w:val="CommentReference"/>
        </w:rPr>
        <w:commentReference w:id="5"/>
      </w:r>
      <w:r>
        <w:t xml:space="preserve"> trillion USD, and disease is a primary limiting factor on its growth and economic worth </w:t>
      </w:r>
      <w:r>
        <w:fldChar w:fldCharType="begin" w:fldLock="1"/>
      </w:r>
      <w:r w:rsidR="005433E4">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"noteIndex" : 0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5433E4">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"noteIndex" : 0 }, "schema" : "https://github.com/citation-style-language/schema/raw/master/csl-citation.json" }</w:instrText>
      </w:r>
      <w:r>
        <w:fldChar w:fldCharType="separate"/>
      </w:r>
      <w:r w:rsidRPr="007D5DCA">
        <w:rPr>
          <w:noProof/>
        </w:rPr>
        <w:t>(Mckindsey et al., 2007)</w:t>
      </w:r>
      <w:r>
        <w:fldChar w:fldCharType="end"/>
      </w:r>
      <w:r>
        <w:t>.</w:t>
      </w:r>
    </w:p>
    <w:p w14:paraId="3ADE5FB8" w14:textId="695CA29D"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5433E4">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598CFACA"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12495614"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5433E4">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"noteIndex" : 0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of rearing conditions themselves, including salinity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C85F547"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r w:rsidR="00B01394">
        <w:t>biofilms</w:t>
      </w:r>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0BA0B7E"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Narrow River in Rhode Island </w:t>
      </w:r>
      <w:r w:rsidRPr="00CD56D4">
        <w:fldChar w:fldCharType="begin" w:fldLock="1"/>
      </w:r>
      <w:r w:rsidR="005433E4">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xml:space="preserve">)) at 28 °C with shaking at 170 rpm. The bacterial cell concentration was estimated by </w:t>
      </w:r>
      <w:proofErr w:type="gramStart"/>
      <w:r w:rsidRPr="00CD56D4">
        <w:t>a</w:t>
      </w:r>
      <w:proofErr w:type="gramEnd"/>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89100F2" w14:textId="4CC6BE9E"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in prep</w:t>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 University (Bristol, RI, USA) following standard procedures</w:t>
      </w:r>
      <w:r w:rsidR="00AE6985">
        <w:rPr>
          <w:color w:val="000000"/>
        </w:rPr>
        <w:t xml:space="preserve"> </w:t>
      </w:r>
      <w:r w:rsidR="00AE6985">
        <w:rPr>
          <w:color w:val="000000"/>
        </w:rPr>
        <w:fldChar w:fldCharType="begin" w:fldLock="1"/>
      </w:r>
      <w:r w:rsidR="00E13122">
        <w:rPr>
          <w:color w:val="000000"/>
        </w:rPr>
        <w:instrText>ADDIN CSL_CITATION {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"uris" : [ "http://www.mendeley.com/documents/?uuid=6271c68b-31d1-4844-9efd-c8e0dd11a7b7" ] } ], "mendeley" : { "formattedCitation" : "(Helm et al., 2004)", "plainTextFormattedCitation" : "(Helm et al., 2004)", "previouslyFormattedCitation" : "(Helm et al., 2004)" }, "properties" : { "noteIndex" : 0 }, "schema" : "https://github.com/citation-style-language/schema/raw/master/csl-citation.json" }</w:instrText>
      </w:r>
      <w:r w:rsidR="00AE6985">
        <w:rPr>
          <w:color w:val="000000"/>
        </w:rPr>
        <w:fldChar w:fldCharType="separate"/>
      </w:r>
      <w:r w:rsidR="00AE6985" w:rsidRPr="00AE6985">
        <w:rPr>
          <w:noProof/>
          <w:color w:val="000000"/>
        </w:rPr>
        <w:t>(Helm et al., 2004)</w:t>
      </w:r>
      <w:r w:rsidR="00AE6985">
        <w:rPr>
          <w:color w:val="000000"/>
        </w:rPr>
        <w:fldChar w:fldCharType="end"/>
      </w:r>
      <w:r w:rsidR="00AE6985">
        <w:rPr>
          <w:color w:val="000000"/>
        </w:rPr>
        <w:t xml:space="preserve">. </w:t>
      </w:r>
      <w:r>
        <w:rPr>
          <w:color w:val="000000"/>
        </w:rPr>
        <w:t xml:space="preserve">Spawning is referred to as Day 0 throughout the manuscript. Larvae (1-day old) were distributed and maintained in static conditions in triplicate 120 L conical tanks for each treatment at room 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Pr>
          <w:color w:val="000000"/>
          <w:sz w:val="14"/>
          <w:szCs w:val="14"/>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and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7003A807" w:rsidR="002B224F" w:rsidRDefault="005421AE" w:rsidP="002B224F">
      <w:pPr>
        <w:rPr>
          <w:color w:val="000000"/>
        </w:rPr>
      </w:pPr>
      <w:r>
        <w:rPr>
          <w:color w:val="000000"/>
        </w:rPr>
        <w:t xml:space="preserve">Rearing water (1 – 2 L) was collected from each of the triplicate tanks during drain-down and filtered over a 0.22 </w:t>
      </w:r>
      <w:proofErr w:type="spellStart"/>
      <w:r>
        <w:rPr>
          <w:color w:val="000000"/>
        </w:rPr>
        <w:t>μm</w:t>
      </w:r>
      <w:proofErr w:type="spellEnd"/>
      <w:r>
        <w:rPr>
          <w:color w:val="000000"/>
        </w:rPr>
        <w:t xml:space="preserve">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w:t>
      </w:r>
      <w:proofErr w:type="spellStart"/>
      <w:r>
        <w:rPr>
          <w:color w:val="000000"/>
        </w:rPr>
        <w:t>RNAlater</w:t>
      </w:r>
      <w:proofErr w:type="spellEnd"/>
      <w:r>
        <w:rPr>
          <w:color w:val="000000"/>
        </w:rPr>
        <w:t xml:space="preserve">. Oyster larvae were collected on a 55 </w:t>
      </w:r>
      <w:proofErr w:type="spellStart"/>
      <w:r>
        <w:rPr>
          <w:color w:val="000000"/>
        </w:rPr>
        <w:t>μm</w:t>
      </w:r>
      <w:proofErr w:type="spellEnd"/>
      <w:r>
        <w:rPr>
          <w:color w:val="000000"/>
        </w:rPr>
        <w:t xml:space="preserve"> sieve after drain-down of tank water, resuspended in 5 liters of seawater, and 10 ml of oyster larvae from each tank (about 150 – 1500 larvae) were placed into a sterile tube. In the laboratory, oyster larvae were collected on a 40 </w:t>
      </w:r>
      <w:proofErr w:type="spellStart"/>
      <w:r>
        <w:rPr>
          <w:color w:val="000000"/>
        </w:rPr>
        <w:t>μm</w:t>
      </w:r>
      <w:proofErr w:type="spellEnd"/>
      <w:r>
        <w:rPr>
          <w:color w:val="000000"/>
        </w:rPr>
        <w:t xml:space="preserve">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for independent confirmation (Table 1).</w:t>
      </w:r>
    </w:p>
    <w:p w14:paraId="3E5B4FC5" w14:textId="77777777" w:rsidR="002B224F" w:rsidRDefault="002B224F" w:rsidP="002B224F">
      <w:pPr>
        <w:pStyle w:val="Heading2"/>
      </w:pPr>
      <w:r w:rsidRPr="002B224F">
        <w:t>DNA Extraction, Amplification, and Sequencing</w:t>
      </w:r>
    </w:p>
    <w:p w14:paraId="3B125C5A" w14:textId="02BB7D62" w:rsidR="002E5918" w:rsidRPr="00EC538F" w:rsidRDefault="002E5918" w:rsidP="002E5918">
      <w:pPr>
        <w:rPr>
          <w:shd w:val="clear" w:color="auto" w:fill="FFFFFF"/>
        </w:rPr>
      </w:pPr>
      <w:r w:rsidRPr="00CD56D4">
        <w:lastRenderedPageBreak/>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proofErr w:type="spellStart"/>
      <w:r w:rsidR="001E766B">
        <w:t>RNAlater</w:t>
      </w:r>
      <w:proofErr w:type="spellEnd"/>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033222D3"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5433E4">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5433E4">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"noteIndex" : 0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76628DAE" w:rsidR="00B116F8" w:rsidRDefault="0012239F" w:rsidP="0012239F">
      <w:pPr>
        <w:pStyle w:val="NormalWeb"/>
        <w:spacing w:before="120" w:beforeAutospacing="0" w:after="240" w:afterAutospacing="0"/>
      </w:pPr>
      <w:r>
        <w:rPr>
          <w:color w:val="000000"/>
        </w:rPr>
        <w:t xml:space="preserve">All descriptive and statistical analyses were performed in the R statistical computing environment with the </w:t>
      </w:r>
      <w:r>
        <w:rPr>
          <w:i/>
          <w:iCs/>
          <w:color w:val="000000"/>
        </w:rPr>
        <w:t>vegan</w:t>
      </w:r>
      <w:r>
        <w:rPr>
          <w:color w:val="000000"/>
        </w:rPr>
        <w:t xml:space="preserve"> and </w:t>
      </w:r>
      <w:r>
        <w:rPr>
          <w:i/>
          <w:iCs/>
          <w:color w:val="000000"/>
        </w:rPr>
        <w:t>phyloseq</w:t>
      </w:r>
      <w:r>
        <w:rPr>
          <w:color w:val="000000"/>
        </w:rPr>
        <w:t xml:space="preserve"> packages. Simpson’s diversity values were calculated for each sample at the order level using the </w:t>
      </w:r>
      <w:r>
        <w:rPr>
          <w:i/>
          <w:iCs/>
          <w:color w:val="000000"/>
        </w:rPr>
        <w:t>vegan</w:t>
      </w:r>
      <w:r>
        <w:rPr>
          <w:color w:val="000000"/>
        </w:rPr>
        <w:t xml:space="preserve"> package Version 2.4-1</w:t>
      </w:r>
      <w:r w:rsidR="00B116F8">
        <w:fldChar w:fldCharType="begin" w:fldLock="1"/>
      </w:r>
      <w:r w:rsidR="005433E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fldChar w:fldCharType="separate"/>
      </w:r>
      <w:r w:rsidR="00B116F8" w:rsidRPr="007D5DCA">
        <w:rPr>
          <w:noProof/>
        </w:rPr>
        <w:t>(Dixon, 2003)</w:t>
      </w:r>
      <w:r w:rsidR="00B116F8">
        <w:fldChar w:fldCharType="end"/>
      </w:r>
      <w:r w:rsidR="00B116F8">
        <w:t xml:space="preserve">. </w:t>
      </w:r>
      <w:r>
        <w:rPr>
          <w:color w:val="000000"/>
        </w:rPr>
        <w:t xml:space="preserve">Non-metric dimensional analysis (NMDS) was used to determine the influence of time, probiotic treatment, or sample type on the bacterial community composition, based on methods by </w:t>
      </w:r>
      <w:r w:rsidR="00B116F8">
        <w:fldChar w:fldCharType="begin" w:fldLock="1"/>
      </w:r>
      <w:r w:rsidR="005433E4">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Torondel et al., 2016</w:t>
      </w:r>
      <w:r w:rsidR="00B116F8">
        <w:fldChar w:fldCharType="end"/>
      </w:r>
      <w:r w:rsidR="00B116F8">
        <w:t xml:space="preserve"> </w:t>
      </w:r>
      <w:r w:rsidRPr="0012239F">
        <w:rPr>
          <w:color w:val="000000"/>
        </w:rPr>
        <w:t xml:space="preserve">and implemented using </w:t>
      </w:r>
      <w:r w:rsidRPr="0012239F">
        <w:rPr>
          <w:i/>
          <w:iCs/>
          <w:color w:val="000000"/>
        </w:rPr>
        <w:t>vegan</w:t>
      </w:r>
      <w:r w:rsidRPr="0012239F">
        <w:rPr>
          <w:color w:val="000000"/>
        </w:rPr>
        <w:t>. The Bray-Curtis dissimilarity metric was used with k=2 for 50 iterations and 95% confidence intervals were plotted. Additionally, relative abundances of specific taxa were extracted and plotted according to treatment and time, and analyzed using t-tests and ANOVAs in R.</w:t>
      </w:r>
    </w:p>
    <w:p w14:paraId="68C871DE" w14:textId="6E621F8F" w:rsidR="0026252E" w:rsidRDefault="0026252E" w:rsidP="0026252E">
      <w:r>
        <w:lastRenderedPageBreak/>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A total of 18,103,647 - quality controlled - 16S rRNA gene amplicon sequences were analyzed from 42 rearing water, 24 tank biofilm swab, and 21 pooled larvae samples from three hatchery trials. There was an average of 208,087 reads for each of the 87 samples, ranging between 961-1,117,380 depending on the sequencing method and sample type (Figure 1, top).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Over time, there is an enrichment for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the swabs compared to the water, but not in the oysters (p&lt;0.001).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  </w:t>
      </w:r>
    </w:p>
    <w:p w14:paraId="2D5C47B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Overall, the bacterial community in rearing water was significantly more diverse than the community in oyster larvae and biofilm swab samples (Simpson’s Diversity Index, p&lt;0.001, Figure 2),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(Figure 2, p&lt;0.001), most probably due to the greater sequencing depth and different 16S variable region in Trial 3 (Figure S1), but potentially also due to seasonal and yearly differences in bacterial composition of the source for the rearing water. There was also very high variability among replicate samples from each timepoint and treatment (Figure 2, Figure S2). However, significant increases in bacterial diversity over time were detected in the rearing water in Trials 2 and 3 (p&lt;0.01), and in the oyster larvae and biofilm swabs in Trial 1 (p&lt;0.01). No significant difference between control and treated samples at each time-point and sample type were detected (p=0.52). </w:t>
      </w:r>
    </w:p>
    <w:p w14:paraId="48372525"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w:t>
      </w:r>
      <w:r w:rsidRPr="004E749C">
        <w:rPr>
          <w:rFonts w:eastAsia="Times New Roman" w:cs="Times New Roman"/>
          <w:color w:val="000000"/>
          <w:szCs w:val="24"/>
        </w:rPr>
        <w:lastRenderedPageBreak/>
        <w:t>Curtis, k=2, 95% confidence) in all three Trials (Figure 3b). These results suggest that hatchery tanks containing oyster larvae have dynamically developing microbiomes, despite the fact that they are all receiving the same inflow seawater. There was no significant effect of treatment on the beta-diversity of the overall samples (Figure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all trials,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significantly more abundant in samples from treated tanks than in the control tanks by the final sampling day (Figure 4a, interaction p&lt;0.056). These results suggest that those reads correspond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(Figure 4b, p&lt;0.01).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in all Trials (Figure 4b, p&lt;0.005).  Due to increased variability and lack of sufficient data, no significant changes were seen in other sample types in Trials 1 and 2. </w:t>
      </w:r>
    </w:p>
    <w:p w14:paraId="5B464A90" w14:textId="0A1EE8F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 Overall, no significant differences in abundance of </w:t>
      </w:r>
      <w:proofErr w:type="spellStart"/>
      <w:r w:rsidRPr="00FF7D6F">
        <w:rPr>
          <w:rFonts w:eastAsia="Times New Roman" w:cs="Times New Roman"/>
          <w:color w:val="000000"/>
          <w:szCs w:val="24"/>
        </w:rPr>
        <w:t>vibrios</w:t>
      </w:r>
      <w:proofErr w:type="spellEnd"/>
      <w:r w:rsidRPr="00FF7D6F">
        <w:rPr>
          <w:rFonts w:eastAsia="Times New Roman" w:cs="Times New Roman"/>
          <w:color w:val="000000"/>
          <w:szCs w:val="24"/>
        </w:rPr>
        <w:t xml:space="preserve"> between control and probiotic treated-tanks were detected for any of the sample types or trials. However, a significant effect of treatment was observed in vibrio diversity (as measured using the Simpson’s Index of diversity) in water samples collected on day 12 in Trial 1 (Figure 5a).  This trend was also detected in water samples from Trials 2 and 3 (Figure S4). </w:t>
      </w:r>
    </w:p>
    <w:p w14:paraId="32A7679B"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The abundance of </w:t>
      </w:r>
      <w:r w:rsidRPr="00FF7D6F">
        <w:rPr>
          <w:rFonts w:eastAsia="Times New Roman" w:cs="Times New Roman"/>
          <w:i/>
          <w:iCs/>
          <w:color w:val="000000"/>
          <w:szCs w:val="24"/>
        </w:rPr>
        <w:t>Vibrio</w:t>
      </w:r>
      <w:r w:rsidRPr="00FF7D6F">
        <w:rPr>
          <w:rFonts w:eastAsia="Times New Roman" w:cs="Times New Roman"/>
          <w:color w:val="000000"/>
          <w:szCs w:val="24"/>
        </w:rPr>
        <w:t xml:space="preserve"> in oyster larvae, biofilm swabs, and rearing water samples significantly decreased over time in Trial 1 (Figure 5b, Figure S3, p&lt;0.01).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were significantly more abundant in the oyster larvae, than in the biofilm swabs on Day 12 and all of the water samples in Trial 1 (Figure 5b, interaction p&lt;0.001). No significant differences in </w:t>
      </w:r>
      <w:r w:rsidRPr="00FF7D6F">
        <w:rPr>
          <w:rFonts w:eastAsia="Times New Roman" w:cs="Times New Roman"/>
          <w:i/>
          <w:iCs/>
          <w:color w:val="000000"/>
          <w:szCs w:val="24"/>
        </w:rPr>
        <w:t xml:space="preserve">Vibrio </w:t>
      </w:r>
      <w:r w:rsidRPr="00FF7D6F">
        <w:rPr>
          <w:rFonts w:eastAsia="Times New Roman" w:cs="Times New Roman"/>
          <w:color w:val="000000"/>
          <w:szCs w:val="24"/>
        </w:rPr>
        <w:t xml:space="preserve">Simpson’s Index of Diversity was detected between treatments in the larvae or biofilm samples (Figure 5a, p&gt;0.60). The diversity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spp. was overall higher in swab and oyster samples (p&lt;0.005), and significantly increased from Day 5 to Day 12 in swab and water samples (p&lt;0.001). </w:t>
      </w:r>
    </w:p>
    <w:p w14:paraId="5B3E715C"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 of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on this data (only water samples were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the probiotic treated tanks were dominated by oligotypes closely related to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 and the control tanks were dominated by the oligotype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By Day 12,</w:t>
      </w:r>
      <w:r w:rsidRPr="00FF7D6F">
        <w:rPr>
          <w:rFonts w:eastAsia="Times New Roman" w:cs="Times New Roman"/>
          <w:i/>
          <w:iCs/>
          <w:color w:val="000000"/>
          <w:szCs w:val="24"/>
        </w:rPr>
        <w:t xml:space="preserve"> Vibrio alginolyticus</w:t>
      </w:r>
      <w:r w:rsidRPr="00FF7D6F">
        <w:rPr>
          <w:rFonts w:eastAsia="Times New Roman" w:cs="Times New Roman"/>
          <w:color w:val="000000"/>
          <w:szCs w:val="24"/>
        </w:rPr>
        <w:t xml:space="preserve"> WW1 is succeeded by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in the probiotic treated tanks and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 in the control tanks. </w:t>
      </w:r>
    </w:p>
    <w:p w14:paraId="2F757B00" w14:textId="74559367" w:rsidR="001525F4" w:rsidRDefault="001525F4" w:rsidP="001525F4">
      <w:pPr>
        <w:pStyle w:val="NormalWeb"/>
        <w:spacing w:before="120" w:beforeAutospacing="0" w:after="240" w:afterAutospacing="0"/>
      </w:pPr>
    </w:p>
    <w:p w14:paraId="47941601" w14:textId="20DC9F40" w:rsidR="001444D0" w:rsidRDefault="00A711D7" w:rsidP="0038579E">
      <w:pPr>
        <w:pStyle w:val="Heading2"/>
      </w:pPr>
      <w:r>
        <w:t>Bacterial</w:t>
      </w:r>
      <w:r w:rsidR="0038579E">
        <w:t xml:space="preserve"> Relationships with Co-Occurrence Analysis</w:t>
      </w:r>
    </w:p>
    <w:p w14:paraId="445384FC" w14:textId="77777777" w:rsidR="001525F4" w:rsidRDefault="001525F4" w:rsidP="001525F4">
      <w:pPr>
        <w:pStyle w:val="NormalWeb"/>
        <w:spacing w:before="120" w:beforeAutospacing="0" w:after="240" w:afterAutospacing="0"/>
      </w:pPr>
      <w:r>
        <w:rPr>
          <w:color w:val="000000"/>
        </w:rPr>
        <w:t xml:space="preserve">A co-occurrence analysis of members of the bacterial community (Figure 7) in the 18 water samples from Trial 3 was performed to illustrate: a) how abundance of each Order changed relative to others </w:t>
      </w:r>
      <w:r>
        <w:rPr>
          <w:color w:val="000000"/>
        </w:rPr>
        <w:lastRenderedPageBreak/>
        <w:t>(edge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significantly more abundant in the control samples than in treatment samples include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xml:space="preserve">. These nodes scattered throughout the network and did not share direct edges, but are within 3-5 edges of each other. </w:t>
      </w:r>
    </w:p>
    <w:p w14:paraId="532193EF" w14:textId="77777777" w:rsidR="001525F4" w:rsidRDefault="001525F4" w:rsidP="001525F4">
      <w:pPr>
        <w:pStyle w:val="NormalWeb"/>
        <w:spacing w:before="120" w:beforeAutospacing="0" w:after="240" w:afterAutospacing="0"/>
      </w:pPr>
      <w:r>
        <w:rPr>
          <w:i/>
          <w:iCs/>
          <w:color w:val="000000"/>
        </w:rPr>
        <w:t>Bacillales</w:t>
      </w:r>
      <w:r>
        <w:rPr>
          <w:color w:val="000000"/>
        </w:rPr>
        <w:t xml:space="preserve">, the Order to which the probiotic used in these experiments belongs and was most abundant in the treated samples, was shown to be most directly associated in the network with four other Orders that change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indicates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a common environmental bacteria taxon (</w:t>
      </w:r>
      <w:proofErr w:type="spellStart"/>
      <w:r>
        <w:rPr>
          <w:color w:val="000000"/>
        </w:rPr>
        <w:t>Bernardet</w:t>
      </w:r>
      <w:proofErr w:type="spellEnd"/>
      <w:r>
        <w:rPr>
          <w:color w:val="000000"/>
        </w:rPr>
        <w:t xml:space="preserve"> et al., 2015). This network indicates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62D82C81" w:rsidR="00F05E88" w:rsidRDefault="000628D5" w:rsidP="000628D5">
      <w:pPr>
        <w:pStyle w:val="NormalWeb"/>
        <w:spacing w:before="120" w:beforeAutospacing="0" w:after="240" w:afterAutospacing="0"/>
      </w:pPr>
      <w:r>
        <w:rPr>
          <w:color w:val="000000"/>
        </w:rPr>
        <w:t xml:space="preserve">Manipulation of bacterial community structures in aquaculture systems is a potential mechanism for prevention of disease among the commercial crop grown in these systems. Moreover, study of these microbial communities informs potential actions such as probiotic treatment. This information can then be used to optimize disease management strategies. Our study established that bacterial community structure in an oyster hatchery differed in diversity and composition between rearing water, tank biofilm swabs, and oyster larvae. In particular, oyster larvae selected for specific taxa present in the water and in biofilms, including </w:t>
      </w:r>
      <w:r>
        <w:rPr>
          <w:i/>
          <w:iCs/>
          <w:color w:val="000000"/>
        </w:rPr>
        <w:t xml:space="preserve">Firmicutes </w:t>
      </w:r>
      <w:r>
        <w:rPr>
          <w:color w:val="000000"/>
        </w:rPr>
        <w:t xml:space="preserve">and </w:t>
      </w:r>
      <w:r>
        <w:rPr>
          <w:i/>
          <w:iCs/>
          <w:color w:val="000000"/>
        </w:rPr>
        <w:t>Proteobacteria</w:t>
      </w:r>
      <w:r>
        <w:rPr>
          <w:color w:val="000000"/>
        </w:rPr>
        <w:t xml:space="preserve">, while biofilms showed a diversity and composition state that was intermediate between water and larvae. Additionally, the microbiome changed significantly over time in the rearing water, specifically with an increase in </w:t>
      </w:r>
      <w:r>
        <w:rPr>
          <w:i/>
          <w:iCs/>
          <w:color w:val="000000"/>
        </w:rPr>
        <w:t>Actinobacteria</w:t>
      </w:r>
      <w:r>
        <w:rPr>
          <w:color w:val="000000"/>
        </w:rPr>
        <w:t xml:space="preserve"> and a decrease in </w:t>
      </w:r>
      <w:r>
        <w:rPr>
          <w:i/>
          <w:iCs/>
          <w:color w:val="000000"/>
        </w:rPr>
        <w:t>Bacteroidetes</w:t>
      </w:r>
      <w:r>
        <w:rPr>
          <w:color w:val="000000"/>
        </w:rPr>
        <w:t xml:space="preserve">. The strong effect of time initially obscured the overall effects of treatment, trial, or sample type. </w:t>
      </w:r>
      <w:r>
        <w:rPr>
          <w:i/>
          <w:iCs/>
          <w:color w:val="000000"/>
        </w:rPr>
        <w:t>Proteobacteria</w:t>
      </w:r>
      <w:r>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5433E4">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"noteIndex" : 0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w:t>
      </w:r>
      <w:r w:rsidRPr="000628D5">
        <w:rPr>
          <w:color w:val="000000"/>
        </w:rPr>
        <w:t xml:space="preserve">The other phyla, however, showed variation in relative abundances based on sample type, day, and treatment, including </w:t>
      </w:r>
      <w:r w:rsidRPr="000628D5">
        <w:rPr>
          <w:i/>
          <w:iCs/>
          <w:color w:val="000000"/>
        </w:rPr>
        <w:t xml:space="preserve">Bacteroidetes, Cyanobacteria, </w:t>
      </w:r>
      <w:r w:rsidRPr="000628D5">
        <w:rPr>
          <w:color w:val="000000"/>
        </w:rPr>
        <w:t xml:space="preserve">and </w:t>
      </w:r>
      <w:r w:rsidRPr="000628D5">
        <w:rPr>
          <w:i/>
          <w:iCs/>
          <w:color w:val="000000"/>
        </w:rPr>
        <w:t>Actinobacteria</w:t>
      </w:r>
      <w:r w:rsidRPr="000628D5">
        <w:rPr>
          <w:color w:val="000000"/>
        </w:rPr>
        <w:t>.</w:t>
      </w:r>
    </w:p>
    <w:p w14:paraId="62F979EA" w14:textId="5DC907DE" w:rsidR="000628D5" w:rsidRDefault="000628D5" w:rsidP="00F05E88">
      <w:pPr>
        <w:rPr>
          <w:color w:val="000000"/>
        </w:rPr>
      </w:pPr>
      <w:r>
        <w:rPr>
          <w:color w:val="000000"/>
        </w:rPr>
        <w:t xml:space="preserve">Our results show high variability in bacterial composition between replicate samples within trials and between trials, especially among the bacterial communities of oyster larvae. High variability in microbial communities in oysters from a single location is consistent with past studies, and is most probably driven by genetic and environmental effects on host-microbe interactions </w:t>
      </w:r>
      <w:r w:rsidR="00F05E88">
        <w:fldChar w:fldCharType="begin" w:fldLock="1"/>
      </w:r>
      <w:r w:rsidR="005433E4">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rsidR="00F05E88">
        <w:fldChar w:fldCharType="separate"/>
      </w:r>
      <w:r w:rsidR="007D5DCA" w:rsidRPr="007D5DCA">
        <w:rPr>
          <w:noProof/>
        </w:rPr>
        <w:t>(King et al., 2012; Wegner et al., 2013)</w:t>
      </w:r>
      <w:r w:rsidR="00F05E88">
        <w:fldChar w:fldCharType="end"/>
      </w:r>
      <w:r w:rsidR="005539B1">
        <w:t xml:space="preserve"> </w:t>
      </w:r>
      <w:r>
        <w:rPr>
          <w:color w:val="000000"/>
        </w:rPr>
        <w:t xml:space="preserve">or variability in larval performance in response to pathogen challenge </w:t>
      </w:r>
      <w:r>
        <w:rPr>
          <w:color w:val="000000"/>
          <w:shd w:val="clear" w:color="auto" w:fill="FFFF00"/>
        </w:rPr>
        <w:t xml:space="preserve">(Sohn et al. </w:t>
      </w:r>
      <w:r>
        <w:rPr>
          <w:i/>
          <w:iCs/>
          <w:color w:val="000000"/>
          <w:shd w:val="clear" w:color="auto" w:fill="FFFF00"/>
        </w:rPr>
        <w:t>in prep</w:t>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5D1CDB">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684B3F39" w14:textId="722DD2B6" w:rsidR="00F05E88" w:rsidRDefault="000628D5" w:rsidP="00F05E88">
      <w:r>
        <w:rPr>
          <w:color w:val="000000"/>
        </w:rPr>
        <w:lastRenderedPageBreak/>
        <w:t xml:space="preserve">Despite high variability in microbial communities between samples and trials, clear differences were seen in microbial composition between sample types (water, biofilms, and larvae). Lower diversity indices in the larvae and tank biofilm swabs 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in the tank. It is likely that the oysters select their commensal bacteria from a diverse pool of bacteria in the rearing water and microalgal feed. This hypothesis is consistent with outcomes of past studies that suggest interactions between microalgae, bacteria, and animals in aquaculture.  Bacteria are an essential component of aquaculture nutrition, as both a source of nutrients and growth factors for the microalgae, and as food for the larvae </w:t>
      </w:r>
      <w:r w:rsidR="002D630D">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eastern oysters based on size, chemistry,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 this indicates that temporal changes in microbial communities in the tanks may be driven by developmental changes in the oyster larvae, since it is unlikely that these major changes are due to transient changes in the microbial composition of incoming water. Samples collected during Trial 3 on days 5, 8, and 12 from the hatchery inflow water show that the microbiome is constant over time (data not shown). More research is needed to evaluate the role of oyster-microbial interactions on the dynamics of microbial communities in oyster tanks.</w:t>
      </w:r>
    </w:p>
    <w:p w14:paraId="29C569F1" w14:textId="29557B26"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global effect on bacterial diversity or structure in any of the sample types, suggesting that the probiotic effect is exerted directly on the larvae (e.g. by modulation of the immune system) and/or that it is mediated by subtle, targeted changes in the oyster microbiomes that are obscured by large temporal effects. The presence of the probiotic was confirmed with higher total </w:t>
      </w:r>
      <w:r>
        <w:rPr>
          <w:i/>
          <w:iCs/>
          <w:color w:val="000000"/>
        </w:rPr>
        <w:t>Bacillus</w:t>
      </w:r>
      <w:r>
        <w:rPr>
          <w:color w:val="000000"/>
        </w:rPr>
        <w:t xml:space="preserve"> spp. read counts in the probiotic-treated water and increased abundance throughout the Trials, likely due to natural mortality and therefore decreased grazing in the tanks. Previous studies of the 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F05E88">
        <w:t xml:space="preserve"> </w:t>
      </w:r>
    </w:p>
    <w:p w14:paraId="2B02E325" w14:textId="77777777" w:rsidR="00E043D0" w:rsidRPr="00E043D0" w:rsidRDefault="00E043D0" w:rsidP="00E043D0">
      <w:pPr>
        <w:pStyle w:val="NormalWeb"/>
        <w:spacing w:before="120" w:beforeAutospacing="0" w:after="240" w:afterAutospacing="0"/>
      </w:pPr>
      <w:r>
        <w:rPr>
          <w:color w:val="000000"/>
        </w:rPr>
        <w:t xml:space="preserve">Despite not observing an overall effect of the probiotic on microbial community diversity and overall composition, the presence of the probiotic was confirmed with higher total </w:t>
      </w:r>
      <w:r>
        <w:rPr>
          <w:i/>
          <w:iCs/>
          <w:color w:val="000000"/>
        </w:rPr>
        <w:t>Bacillus</w:t>
      </w:r>
      <w:r>
        <w:rPr>
          <w:color w:val="000000"/>
        </w:rPr>
        <w:t xml:space="preserve"> spp. read counts in the probiotic-treated water and increased abundance throughout the length of each trial, suggesting that the probiotic accumulates in larval oysters through time. Moreover, amplification of other taxa in probiotic-treated samples compared to the control was observed, most notably in the </w:t>
      </w:r>
      <w:r>
        <w:rPr>
          <w:i/>
          <w:iCs/>
          <w:color w:val="000000"/>
        </w:rPr>
        <w:t>Oceanospirillales</w:t>
      </w:r>
      <w:r>
        <w:rPr>
          <w:color w:val="000000"/>
        </w:rPr>
        <w:t xml:space="preserve"> order. This group of bacteria was consistently more abundant in probiotic-treated rearing water, and significantly decreased with time in all three trials. </w:t>
      </w:r>
      <w:r>
        <w:rPr>
          <w:i/>
          <w:iCs/>
          <w:color w:val="000000"/>
        </w:rPr>
        <w:t>Oceanospirillales</w:t>
      </w:r>
      <w:r>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Pr="00E043D0">
        <w:rPr>
          <w:color w:val="000000"/>
        </w:rPr>
        <w:t xml:space="preserve">These observations indicate that </w:t>
      </w:r>
      <w:r w:rsidRPr="00E043D0">
        <w:rPr>
          <w:i/>
          <w:iCs/>
          <w:color w:val="000000"/>
        </w:rPr>
        <w:t>Oceanospirillales</w:t>
      </w:r>
      <w:r w:rsidRPr="00E043D0">
        <w:rPr>
          <w:color w:val="000000"/>
        </w:rPr>
        <w:t xml:space="preserve"> may confer a beneficial effect to the oyster host and contribute to the mechanism of oyster larval protection by the </w:t>
      </w:r>
      <w:r w:rsidRPr="00E043D0">
        <w:rPr>
          <w:i/>
          <w:iCs/>
          <w:color w:val="000000"/>
        </w:rPr>
        <w:t xml:space="preserve">B. pumilus </w:t>
      </w:r>
      <w:r w:rsidRPr="00E043D0">
        <w:rPr>
          <w:color w:val="000000"/>
        </w:rPr>
        <w:t xml:space="preserve">RI06-95 probiotic. </w:t>
      </w:r>
    </w:p>
    <w:p w14:paraId="3044D1B2" w14:textId="5F86D5AB" w:rsidR="00F05E88" w:rsidRDefault="00C1130C" w:rsidP="00F05E88">
      <w:r>
        <w:t>P</w:t>
      </w:r>
      <w:r w:rsidR="00484A45">
        <w:t>revious research (Sohn et al. 2016</w:t>
      </w:r>
      <w:r w:rsidR="00E043D0">
        <w:rPr>
          <w:color w:val="000000"/>
        </w:rPr>
        <w:t xml:space="preserve"> suggested that probiotic treatment in the hatchery potentially decreases levels of </w:t>
      </w:r>
      <w:r w:rsidR="00E043D0">
        <w:rPr>
          <w:i/>
          <w:iCs/>
          <w:color w:val="000000"/>
        </w:rPr>
        <w:t xml:space="preserve">Vibrio </w:t>
      </w:r>
      <w:r w:rsidR="00E043D0">
        <w:rPr>
          <w:color w:val="000000"/>
        </w:rPr>
        <w:t xml:space="preserve">spp. in the hatchery. Characterization studies have shown that our probiotic </w:t>
      </w:r>
      <w:r w:rsidR="00E043D0">
        <w:rPr>
          <w:color w:val="000000"/>
        </w:rPr>
        <w:lastRenderedPageBreak/>
        <w:t xml:space="preserve">species, </w:t>
      </w:r>
      <w:r w:rsidR="00E043D0">
        <w:rPr>
          <w:i/>
          <w:iCs/>
          <w:color w:val="000000"/>
        </w:rPr>
        <w:t>Bacillus pumilus</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inhibit </w:t>
      </w:r>
      <w:r w:rsidR="00E043D0">
        <w:rPr>
          <w:i/>
          <w:iCs/>
          <w:color w:val="000000"/>
        </w:rPr>
        <w:t>in vitro</w:t>
      </w:r>
      <w:r w:rsidR="00E043D0">
        <w:rPr>
          <w:color w:val="000000"/>
        </w:rPr>
        <w:t xml:space="preserve"> growth of Vibrio</w:t>
      </w:r>
      <w:r w:rsidR="00E043D0">
        <w:rPr>
          <w:i/>
          <w:iCs/>
          <w:color w:val="000000"/>
        </w:rPr>
        <w:t xml:space="preserve"> </w:t>
      </w:r>
      <w:r w:rsidR="00E043D0">
        <w:rPr>
          <w:color w:val="000000"/>
        </w:rPr>
        <w:t xml:space="preserve">spp.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E043D0">
        <w:rPr>
          <w:color w:val="000000"/>
        </w:rPr>
        <w:t xml:space="preserve">This trend is also observed in the number of </w:t>
      </w:r>
      <w:r w:rsidR="00E043D0">
        <w:rPr>
          <w:i/>
          <w:iCs/>
          <w:color w:val="000000"/>
        </w:rPr>
        <w:t>Vibrio</w:t>
      </w:r>
      <w:r w:rsidR="00E043D0">
        <w:rPr>
          <w:color w:val="000000"/>
        </w:rPr>
        <w:t xml:space="preserve"> reads in our 16S study, but is not significant due to high variability and small sample sizes.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 which was conducted in January, when there is lower environmental </w:t>
      </w:r>
      <w:r w:rsidR="00E043D0">
        <w:rPr>
          <w:i/>
          <w:iCs/>
          <w:color w:val="000000"/>
        </w:rPr>
        <w:t>Vibrio</w:t>
      </w:r>
      <w:r w:rsidR="00E043D0">
        <w:rPr>
          <w:color w:val="000000"/>
        </w:rPr>
        <w:t xml:space="preserve"> presence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specific pathogenic </w:t>
      </w:r>
      <w:r w:rsidR="00E043D0">
        <w:rPr>
          <w:i/>
          <w:iCs/>
          <w:color w:val="000000"/>
        </w:rPr>
        <w:t xml:space="preserve">Vibrio </w:t>
      </w:r>
      <w:r w:rsidR="00E043D0">
        <w:rPr>
          <w:color w:val="000000"/>
        </w:rPr>
        <w:t xml:space="preserve">spp., and therefore lower chances of a disease outbreak. Moreover, the analysis of single base pair changes in </w:t>
      </w:r>
      <w:r w:rsidR="00E043D0">
        <w:rPr>
          <w:i/>
          <w:iCs/>
          <w:color w:val="000000"/>
        </w:rPr>
        <w:t>Vibrio</w:t>
      </w:r>
      <w:r w:rsidR="00E043D0">
        <w:rPr>
          <w:color w:val="000000"/>
        </w:rPr>
        <w:t xml:space="preserve"> species in the water samples from the high-resolution sequencing performed in Trial 3 revealed that, over time, the </w:t>
      </w:r>
      <w:r w:rsidR="00E043D0">
        <w:rPr>
          <w:i/>
          <w:iCs/>
          <w:color w:val="000000"/>
        </w:rPr>
        <w:t>Vibrio</w:t>
      </w:r>
      <w:r w:rsidR="00E043D0">
        <w:rPr>
          <w:color w:val="000000"/>
        </w:rPr>
        <w:t xml:space="preserve"> community in the probiotic-treated rearing water transitioned from a predominance in potentially pathogenic species, similar to </w:t>
      </w:r>
      <w:r w:rsidR="00E043D0">
        <w:rPr>
          <w:i/>
          <w:iCs/>
          <w:color w:val="000000"/>
        </w:rPr>
        <w:t>Vibrio alginolyticus</w:t>
      </w:r>
      <w:r w:rsidR="00E043D0">
        <w:rPr>
          <w:color w:val="000000"/>
        </w:rPr>
        <w:t xml:space="preserve"> WW1, a virulent pathogen originally isolated from amphioxus</w:t>
      </w:r>
      <w:r w:rsidR="00721E3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E043D0">
        <w:rPr>
          <w:color w:val="000000"/>
        </w:rPr>
        <w:t xml:space="preserve">This trend further confirms that the addition of the </w:t>
      </w:r>
      <w:r w:rsidR="00E043D0">
        <w:rPr>
          <w:i/>
          <w:iCs/>
          <w:color w:val="000000"/>
        </w:rPr>
        <w:t>Bacillus</w:t>
      </w:r>
      <w:r w:rsidR="00E043D0">
        <w:rPr>
          <w:color w:val="000000"/>
        </w:rPr>
        <w:t xml:space="preserve"> probiotic causes subtle changes in certain taxa in the hatchery system, especially the </w:t>
      </w:r>
      <w:r w:rsidR="00E043D0">
        <w:rPr>
          <w:i/>
          <w:iCs/>
          <w:color w:val="000000"/>
        </w:rPr>
        <w:t>Vibrio</w:t>
      </w:r>
      <w:r w:rsidR="00E043D0">
        <w:rPr>
          <w:color w:val="000000"/>
        </w:rPr>
        <w:t xml:space="preserve"> taxon, that may be highly relevant for effectively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5703F5AF"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FE701C">
        <w:rPr>
          <w:i/>
        </w:rPr>
        <w:t xml:space="preserve">Bacillus 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5433E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7AADD73F" w:rsidR="005A4881" w:rsidRDefault="005D1CDB" w:rsidP="005A4881">
      <w:r>
        <w:rPr>
          <w:color w:val="000000"/>
        </w:rPr>
        <w:t xml:space="preserve">The co-occurrence network provides insight for future probiotic development, co-culturing of probiotics, and how a candidate probiotic may be assessed. Perhaps probiotics need to be evaluated by their effect on the system as a whole to quantify and optimize their effect and prevent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Pr>
          <w:color w:val="000000"/>
        </w:rPr>
        <w:t xml:space="preserve">Co-culturing </w:t>
      </w:r>
      <w:r>
        <w:rPr>
          <w:i/>
          <w:iCs/>
          <w:color w:val="000000"/>
        </w:rPr>
        <w:t>Bacillus</w:t>
      </w:r>
      <w:r>
        <w:rPr>
          <w:color w:val="000000"/>
        </w:rPr>
        <w:t xml:space="preserve"> with an </w:t>
      </w:r>
      <w:r>
        <w:rPr>
          <w:i/>
          <w:iCs/>
          <w:color w:val="000000"/>
        </w:rPr>
        <w:t>Oceanospirillales</w:t>
      </w:r>
      <w:r>
        <w:rPr>
          <w:color w:val="000000"/>
        </w:rPr>
        <w:t xml:space="preserve"> symbiont may result in amplified protection for the oysters. 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rsidR="005A4881">
        <w:fldChar w:fldCharType="begin" w:fldLock="1"/>
      </w:r>
      <w:r w:rsidR="005433E4">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w:t>
      </w:r>
      <w:r>
        <w:rPr>
          <w:color w:val="000000"/>
        </w:rPr>
        <w:t xml:space="preserve">These opportunistic </w:t>
      </w:r>
      <w:r>
        <w:rPr>
          <w:i/>
          <w:iCs/>
          <w:color w:val="000000"/>
        </w:rPr>
        <w:t xml:space="preserve">Vibrio </w:t>
      </w:r>
      <w:r>
        <w:rPr>
          <w:color w:val="000000"/>
        </w:rPr>
        <w:t xml:space="preserve">species 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rsidR="005A4881">
        <w:fldChar w:fldCharType="begin" w:fldLock="1"/>
      </w:r>
      <w:r w:rsidR="00FF7D6F">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rsidR="005A4881">
        <w:fldChar w:fldCharType="separate"/>
      </w:r>
      <w:r w:rsidRPr="005D1CDB">
        <w:rPr>
          <w:noProof/>
        </w:rPr>
        <w:t>(Beaz-Hidalgo et al., 2010a; Zhao et al., 2016, 2018)</w:t>
      </w:r>
      <w:r w:rsidR="005A4881">
        <w:fldChar w:fldCharType="end"/>
      </w:r>
      <w:r w:rsidR="005A4881">
        <w:t xml:space="preserve">. </w:t>
      </w:r>
      <w:r>
        <w:rPr>
          <w:color w:val="000000"/>
        </w:rPr>
        <w:t xml:space="preserve">Lastly, consistent probiotic treatment may also result in the diversification of </w:t>
      </w:r>
      <w:r>
        <w:rPr>
          <w:i/>
          <w:iCs/>
          <w:color w:val="000000"/>
        </w:rPr>
        <w:t>Vibrios</w:t>
      </w:r>
      <w:r>
        <w:rPr>
          <w:color w:val="000000"/>
        </w:rPr>
        <w:t xml:space="preserve"> in the system over time, potentially leading to an overall decrease in the infective dose of pathogenic species. Unfortunately, this 16S rDNA study is limited in its ability to determine the species or pathogenicity of the </w:t>
      </w:r>
      <w:r>
        <w:rPr>
          <w:i/>
          <w:iCs/>
          <w:color w:val="000000"/>
        </w:rPr>
        <w:t>Vibrio</w:t>
      </w:r>
      <w:r>
        <w:rPr>
          <w:color w:val="000000"/>
        </w:rPr>
        <w:t xml:space="preserve"> populations in each sample.</w:t>
      </w:r>
    </w:p>
    <w:p w14:paraId="18BE5E50" w14:textId="31BB3D0E" w:rsidR="0003008B" w:rsidRDefault="0003008B" w:rsidP="005A4881">
      <w:r w:rsidRPr="008205B2">
        <w:lastRenderedPageBreak/>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Pr="008205B2">
        <w:fldChar w:fldCharType="separate"/>
      </w:r>
      <w:r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w:t>
      </w:r>
      <w:r>
        <w:t>identify processes involved in probiotic activity</w:t>
      </w:r>
      <w:r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18B696E0" w14:textId="22E45BB5" w:rsidR="00E13122" w:rsidRPr="00E13122" w:rsidRDefault="002937BF" w:rsidP="00E1312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E13122" w:rsidRPr="00E13122">
        <w:rPr>
          <w:rFonts w:cs="Times New Roman"/>
          <w:noProof/>
          <w:szCs w:val="24"/>
        </w:rPr>
        <w:t xml:space="preserve">Andrews, S. (2010). FastQC: A quality control tool for high throughput sequence data. </w:t>
      </w:r>
      <w:r w:rsidR="00E13122" w:rsidRPr="00E13122">
        <w:rPr>
          <w:rFonts w:cs="Times New Roman"/>
          <w:i/>
          <w:iCs/>
          <w:noProof/>
          <w:szCs w:val="24"/>
        </w:rPr>
        <w:t>Ref. Source</w:t>
      </w:r>
      <w:r w:rsidR="00E13122" w:rsidRPr="00E13122">
        <w:rPr>
          <w:rFonts w:cs="Times New Roman"/>
          <w:noProof/>
          <w:szCs w:val="24"/>
        </w:rPr>
        <w:t>.</w:t>
      </w:r>
    </w:p>
    <w:p w14:paraId="2FC6C9A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Asmani, K., Petton, B., Le Grand, J., Mounier, J., Robert, R., and Nicolas, J. L. (2016). Establishment of microbiota in larval culture of Pacific oyster, Crassostrea gigas. </w:t>
      </w:r>
      <w:r w:rsidRPr="00E13122">
        <w:rPr>
          <w:rFonts w:cs="Times New Roman"/>
          <w:i/>
          <w:iCs/>
          <w:noProof/>
          <w:szCs w:val="24"/>
        </w:rPr>
        <w:t>Aquaculture</w:t>
      </w:r>
      <w:r w:rsidRPr="00E13122">
        <w:rPr>
          <w:rFonts w:cs="Times New Roman"/>
          <w:noProof/>
          <w:szCs w:val="24"/>
        </w:rPr>
        <w:t xml:space="preserve"> 464, 434–444. doi:10.1016/j.aquaculture.2016.07.020.</w:t>
      </w:r>
    </w:p>
    <w:p w14:paraId="7833969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Baldwin, B. S. (1995). Selective particle ingestion by oyster larvae (Crassostrea virginica) feeding on natural seston and cultured algae. </w:t>
      </w:r>
      <w:r w:rsidRPr="00E13122">
        <w:rPr>
          <w:rFonts w:cs="Times New Roman"/>
          <w:i/>
          <w:iCs/>
          <w:noProof/>
          <w:szCs w:val="24"/>
        </w:rPr>
        <w:t>Mar. Biol.</w:t>
      </w:r>
      <w:r w:rsidRPr="00E13122">
        <w:rPr>
          <w:rFonts w:cs="Times New Roman"/>
          <w:noProof/>
          <w:szCs w:val="24"/>
        </w:rPr>
        <w:t xml:space="preserve"> 123, 95–107. doi:10.1007/BF00350328.</w:t>
      </w:r>
    </w:p>
    <w:p w14:paraId="6E255C3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Barberán, A., Bates, S. T., Casamayor, E. O., and Fierer, N. (2012). Using network analysis to explore co-occurrence patterns in soil microbial communities. </w:t>
      </w:r>
      <w:r w:rsidRPr="00E13122">
        <w:rPr>
          <w:rFonts w:cs="Times New Roman"/>
          <w:i/>
          <w:iCs/>
          <w:noProof/>
          <w:szCs w:val="24"/>
        </w:rPr>
        <w:t>ISME J.</w:t>
      </w:r>
      <w:r w:rsidRPr="00E13122">
        <w:rPr>
          <w:rFonts w:cs="Times New Roman"/>
          <w:noProof/>
          <w:szCs w:val="24"/>
        </w:rPr>
        <w:t xml:space="preserve"> 6, 343–351. doi:10.1038/ismej.2011.119.</w:t>
      </w:r>
    </w:p>
    <w:p w14:paraId="2A505A9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Beaz-Hidalgo, R., Balboa, S., Romalde, J. L., and Figueras, M. J. (2010a). Diversity and pathogenecity of Vibrio species in cultured bivalve molluscs. </w:t>
      </w:r>
      <w:r w:rsidRPr="00E13122">
        <w:rPr>
          <w:rFonts w:cs="Times New Roman"/>
          <w:i/>
          <w:iCs/>
          <w:noProof/>
          <w:szCs w:val="24"/>
        </w:rPr>
        <w:t>Environ. Microbiol. Rep.</w:t>
      </w:r>
      <w:r w:rsidRPr="00E13122">
        <w:rPr>
          <w:rFonts w:cs="Times New Roman"/>
          <w:noProof/>
          <w:szCs w:val="24"/>
        </w:rPr>
        <w:t xml:space="preserve"> 2, 34–43. doi:10.1111/j.1758-2229.2010.00135.x.</w:t>
      </w:r>
    </w:p>
    <w:p w14:paraId="67AF2E6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E13122">
        <w:rPr>
          <w:rFonts w:cs="Times New Roman"/>
          <w:i/>
          <w:iCs/>
          <w:noProof/>
          <w:szCs w:val="24"/>
        </w:rPr>
        <w:t>Syst. Appl. Microbiol.</w:t>
      </w:r>
      <w:r w:rsidRPr="00E13122">
        <w:rPr>
          <w:rFonts w:cs="Times New Roman"/>
          <w:noProof/>
          <w:szCs w:val="24"/>
        </w:rPr>
        <w:t xml:space="preserve"> 33, 311–315. doi:10.1016/j.syapm.2010.06.007.</w:t>
      </w:r>
    </w:p>
    <w:p w14:paraId="4693714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E13122">
        <w:rPr>
          <w:rFonts w:cs="Times New Roman"/>
          <w:i/>
          <w:iCs/>
          <w:noProof/>
          <w:szCs w:val="24"/>
        </w:rPr>
        <w:t>Environ. Microbiol. Rep.</w:t>
      </w:r>
      <w:r w:rsidRPr="00E13122">
        <w:rPr>
          <w:rFonts w:cs="Times New Roman"/>
          <w:noProof/>
          <w:szCs w:val="24"/>
        </w:rPr>
        <w:t xml:space="preserve"> 6, 656–664. doi:10.1111/1758-2229.12183.</w:t>
      </w:r>
    </w:p>
    <w:p w14:paraId="216D2DB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Bolger, A. M., Lohse, M., and Usadel, B. (2014). Trimmomatic: a flexible trimmer for Illumina sequence data. </w:t>
      </w:r>
      <w:r w:rsidRPr="00E13122">
        <w:rPr>
          <w:rFonts w:cs="Times New Roman"/>
          <w:i/>
          <w:iCs/>
          <w:noProof/>
          <w:szCs w:val="24"/>
        </w:rPr>
        <w:t>Bioinformatics</w:t>
      </w:r>
      <w:r w:rsidRPr="00E13122">
        <w:rPr>
          <w:rFonts w:cs="Times New Roman"/>
          <w:noProof/>
          <w:szCs w:val="24"/>
        </w:rPr>
        <w:t xml:space="preserve"> 30, 2114–2120. doi:10.1093/bioinformatics/btu170.</w:t>
      </w:r>
    </w:p>
    <w:p w14:paraId="747FD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Boutin, S., Audet, C., and Derome, N. (2013). Probiotic treatment by indigenous bacteria decreases mortality without disturbing the natural microbiota of Salvelinus fontinalis. </w:t>
      </w:r>
      <w:r w:rsidRPr="00E13122">
        <w:rPr>
          <w:rFonts w:cs="Times New Roman"/>
          <w:i/>
          <w:iCs/>
          <w:noProof/>
          <w:szCs w:val="24"/>
        </w:rPr>
        <w:t>Can. J. Microbiol.</w:t>
      </w:r>
      <w:r w:rsidRPr="00E13122">
        <w:rPr>
          <w:rFonts w:cs="Times New Roman"/>
          <w:noProof/>
          <w:szCs w:val="24"/>
        </w:rPr>
        <w:t xml:space="preserve"> 59, 662–70. doi:10.1139/cjm-2013-0443.</w:t>
      </w:r>
    </w:p>
    <w:p w14:paraId="67FD17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Burge, C. A., Closek, C. J., Friedman, C. S., Groner, M. L., Jenkins, C. M., Shore-Maggio, A., et al. (2016). The Use of Filter-feeders to Manage Disease in a Changing World. in </w:t>
      </w:r>
      <w:r w:rsidRPr="00E13122">
        <w:rPr>
          <w:rFonts w:cs="Times New Roman"/>
          <w:i/>
          <w:iCs/>
          <w:noProof/>
          <w:szCs w:val="24"/>
        </w:rPr>
        <w:t>Integrative and Comparative Biology</w:t>
      </w:r>
      <w:r w:rsidRPr="00E13122">
        <w:rPr>
          <w:rFonts w:cs="Times New Roman"/>
          <w:noProof/>
          <w:szCs w:val="24"/>
        </w:rPr>
        <w:t xml:space="preserve"> (Oxford University Press), 573–587. doi:10.1093/icb/icw048.</w:t>
      </w:r>
    </w:p>
    <w:p w14:paraId="7381056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and Singh, R. (2018). Probiotics in aquaculture: a promising emerging alternative approach. </w:t>
      </w:r>
      <w:r w:rsidRPr="00E13122">
        <w:rPr>
          <w:rFonts w:cs="Times New Roman"/>
          <w:i/>
          <w:iCs/>
          <w:noProof/>
          <w:szCs w:val="24"/>
        </w:rPr>
        <w:t>Symbiosis</w:t>
      </w:r>
      <w:r w:rsidRPr="00E13122">
        <w:rPr>
          <w:rFonts w:cs="Times New Roman"/>
          <w:noProof/>
          <w:szCs w:val="24"/>
        </w:rPr>
        <w:t>, 1–15. doi:10.1007/s13199-018-0580-1.</w:t>
      </w:r>
    </w:p>
    <w:p w14:paraId="37B959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Wafula, D., Lewis, D. E., and Pathak, A. (2014). Metagenomic Assessment of the Eastern Oyster-Associated Microbiota. </w:t>
      </w:r>
      <w:r w:rsidRPr="00E13122">
        <w:rPr>
          <w:rFonts w:cs="Times New Roman"/>
          <w:i/>
          <w:iCs/>
          <w:noProof/>
          <w:szCs w:val="24"/>
        </w:rPr>
        <w:t>Genome Announc.</w:t>
      </w:r>
      <w:r w:rsidRPr="00E13122">
        <w:rPr>
          <w:rFonts w:cs="Times New Roman"/>
          <w:noProof/>
          <w:szCs w:val="24"/>
        </w:rPr>
        <w:t xml:space="preserve"> 2, e01083-14-e01083-14. doi:10.1128/genomeA.01083-14.</w:t>
      </w:r>
    </w:p>
    <w:p w14:paraId="5CA29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P. M., Carreira, S., Lobo, J., and Costa, M. H. (2012). Molecular detection of prokaryote and protozoan parasites in the commercial bivalve Ruditapes decussatus from southern Portugal. </w:t>
      </w:r>
      <w:r w:rsidRPr="00E13122">
        <w:rPr>
          <w:rFonts w:cs="Times New Roman"/>
          <w:i/>
          <w:iCs/>
          <w:noProof/>
          <w:szCs w:val="24"/>
        </w:rPr>
        <w:t>Aquaculture</w:t>
      </w:r>
      <w:r w:rsidRPr="00E13122">
        <w:rPr>
          <w:rFonts w:cs="Times New Roman"/>
          <w:noProof/>
          <w:szCs w:val="24"/>
        </w:rPr>
        <w:t xml:space="preserve"> 370–371, 61–67. doi:10.1016/j.aquaculture.2012.10.006.</w:t>
      </w:r>
    </w:p>
    <w:p w14:paraId="651CC2B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E13122">
        <w:rPr>
          <w:rFonts w:cs="Times New Roman"/>
          <w:i/>
          <w:iCs/>
          <w:noProof/>
          <w:szCs w:val="24"/>
        </w:rPr>
        <w:t>Appl. Environ. Microbiol.</w:t>
      </w:r>
      <w:r w:rsidRPr="00E13122">
        <w:rPr>
          <w:rFonts w:cs="Times New Roman"/>
          <w:noProof/>
          <w:szCs w:val="24"/>
        </w:rPr>
        <w:t xml:space="preserve"> 76, 1290–1293. doi:10.1128/AEM.00861-09.</w:t>
      </w:r>
    </w:p>
    <w:p w14:paraId="1B67C96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Dixon, P. (2003). VEGAN, a package of R functions for community ecology. </w:t>
      </w:r>
      <w:r w:rsidRPr="00E13122">
        <w:rPr>
          <w:rFonts w:cs="Times New Roman"/>
          <w:i/>
          <w:iCs/>
          <w:noProof/>
          <w:szCs w:val="24"/>
        </w:rPr>
        <w:t>J. Veg. Sci.</w:t>
      </w:r>
      <w:r w:rsidRPr="00E13122">
        <w:rPr>
          <w:rFonts w:cs="Times New Roman"/>
          <w:noProof/>
          <w:szCs w:val="24"/>
        </w:rPr>
        <w:t xml:space="preserve"> 14, 927–930. doi:10.1111/j.1654-1103.2003.tb02228.x.</w:t>
      </w:r>
    </w:p>
    <w:p w14:paraId="77A6D1E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Dubert, J., Barja, J. L., and Romalde, J. L. (2017). New insights into pathogenic vibrios affecting bivalves in hatcheries: Present and future prospects. </w:t>
      </w:r>
      <w:r w:rsidRPr="00E13122">
        <w:rPr>
          <w:rFonts w:cs="Times New Roman"/>
          <w:i/>
          <w:iCs/>
          <w:noProof/>
          <w:szCs w:val="24"/>
        </w:rPr>
        <w:t>Front. Microbiol.</w:t>
      </w:r>
      <w:r w:rsidRPr="00E13122">
        <w:rPr>
          <w:rFonts w:cs="Times New Roman"/>
          <w:noProof/>
          <w:szCs w:val="24"/>
        </w:rPr>
        <w:t xml:space="preserve"> 8, 762. doi:10.3389/fmicb.2017.00762.</w:t>
      </w:r>
    </w:p>
    <w:p w14:paraId="55CF88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E13122">
        <w:rPr>
          <w:rFonts w:cs="Times New Roman"/>
          <w:i/>
          <w:iCs/>
          <w:noProof/>
          <w:szCs w:val="24"/>
        </w:rPr>
        <w:t>Environ. Sci. Technol.</w:t>
      </w:r>
      <w:r w:rsidRPr="00E13122">
        <w:rPr>
          <w:rFonts w:cs="Times New Roman"/>
          <w:noProof/>
          <w:szCs w:val="24"/>
        </w:rPr>
        <w:t xml:space="preserve"> 47, 10860–10867. doi:10.1021/es401676y.</w:t>
      </w:r>
    </w:p>
    <w:p w14:paraId="15B17AA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Elston, R., Leibovitz, L., Relyea, D., and Zatila, J. (1981). Diagnosis of vibriosis in a commercial oyster hatchery epizootic: Diagnostic tools and management features. </w:t>
      </w:r>
      <w:r w:rsidRPr="00E13122">
        <w:rPr>
          <w:rFonts w:cs="Times New Roman"/>
          <w:i/>
          <w:iCs/>
          <w:noProof/>
          <w:szCs w:val="24"/>
        </w:rPr>
        <w:t>Aquaculture</w:t>
      </w:r>
      <w:r w:rsidRPr="00E13122">
        <w:rPr>
          <w:rFonts w:cs="Times New Roman"/>
          <w:noProof/>
          <w:szCs w:val="24"/>
        </w:rPr>
        <w:t xml:space="preserve"> 24, 53–62. doi:10.1016/0044-8486(81)90043-0.</w:t>
      </w:r>
    </w:p>
    <w:p w14:paraId="54BBA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E13122">
        <w:rPr>
          <w:rFonts w:cs="Times New Roman"/>
          <w:i/>
          <w:iCs/>
          <w:noProof/>
          <w:szCs w:val="24"/>
        </w:rPr>
        <w:t>Biol. Bull.</w:t>
      </w:r>
      <w:r w:rsidRPr="00E13122">
        <w:rPr>
          <w:rFonts w:cs="Times New Roman"/>
          <w:noProof/>
          <w:szCs w:val="24"/>
        </w:rPr>
        <w:t xml:space="preserve"> 217, 130–141. doi:217/2/130 [pii].</w:t>
      </w:r>
    </w:p>
    <w:p w14:paraId="3E034DC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Maignien, L., Sul, W. J., Murphy, L. G., Grim, S. L., Morrison, H. G., et al. (2013a). Oligotyping: Differentiating between closely related microbial taxa using 16S rRNA gene data. </w:t>
      </w:r>
      <w:r w:rsidRPr="00E13122">
        <w:rPr>
          <w:rFonts w:cs="Times New Roman"/>
          <w:i/>
          <w:iCs/>
          <w:noProof/>
          <w:szCs w:val="24"/>
        </w:rPr>
        <w:t>Methods Ecol. Evol.</w:t>
      </w:r>
      <w:r w:rsidRPr="00E13122">
        <w:rPr>
          <w:rFonts w:cs="Times New Roman"/>
          <w:noProof/>
          <w:szCs w:val="24"/>
        </w:rPr>
        <w:t xml:space="preserve"> 4, 1111–1119. doi:10.1111/2041-210X.12114.</w:t>
      </w:r>
    </w:p>
    <w:p w14:paraId="1FCC62E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Vineis, J. H., Morrison, H. G., and Sogin, M. L. (2013b). A Filtering Method to Generate High Quality Short Reads Using Illumina Paired-End Technology. </w:t>
      </w:r>
      <w:r w:rsidRPr="00E13122">
        <w:rPr>
          <w:rFonts w:cs="Times New Roman"/>
          <w:i/>
          <w:iCs/>
          <w:noProof/>
          <w:szCs w:val="24"/>
        </w:rPr>
        <w:t>PLoS One</w:t>
      </w:r>
      <w:r w:rsidRPr="00E13122">
        <w:rPr>
          <w:rFonts w:cs="Times New Roman"/>
          <w:noProof/>
          <w:szCs w:val="24"/>
        </w:rPr>
        <w:t xml:space="preserve"> 8, e66643. doi:10.1371/journal.pone.0066643.</w:t>
      </w:r>
    </w:p>
    <w:p w14:paraId="7EFBF37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FAO (2015). </w:t>
      </w:r>
      <w:r w:rsidRPr="00E13122">
        <w:rPr>
          <w:rFonts w:cs="Times New Roman"/>
          <w:i/>
          <w:iCs/>
          <w:noProof/>
          <w:szCs w:val="24"/>
        </w:rPr>
        <w:t>Fishery and Aquaculture Statistics</w:t>
      </w:r>
      <w:r w:rsidRPr="00E13122">
        <w:rPr>
          <w:rFonts w:cs="Times New Roman"/>
          <w:noProof/>
          <w:szCs w:val="24"/>
        </w:rPr>
        <w:t>.</w:t>
      </w:r>
    </w:p>
    <w:p w14:paraId="22B70B9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E13122">
        <w:rPr>
          <w:rFonts w:cs="Times New Roman"/>
          <w:i/>
          <w:iCs/>
          <w:noProof/>
          <w:szCs w:val="24"/>
        </w:rPr>
        <w:t>J. Appl. Microbiol.</w:t>
      </w:r>
      <w:r w:rsidRPr="00E13122">
        <w:rPr>
          <w:rFonts w:cs="Times New Roman"/>
          <w:noProof/>
          <w:szCs w:val="24"/>
        </w:rPr>
        <w:t xml:space="preserve"> 122, 601–614. doi:10.1111/jam.13382.</w:t>
      </w:r>
    </w:p>
    <w:p w14:paraId="63459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Gatesoupe, F. . (1999). Review: The use of probiotics in aquaculture. </w:t>
      </w:r>
      <w:r w:rsidRPr="00E13122">
        <w:rPr>
          <w:rFonts w:cs="Times New Roman"/>
          <w:i/>
          <w:iCs/>
          <w:noProof/>
          <w:szCs w:val="24"/>
        </w:rPr>
        <w:t>Aquaculture</w:t>
      </w:r>
      <w:r w:rsidRPr="00E13122">
        <w:rPr>
          <w:rFonts w:cs="Times New Roman"/>
          <w:noProof/>
          <w:szCs w:val="24"/>
        </w:rPr>
        <w:t xml:space="preserve"> 180, 147–165. doi:10.1016/S0044-8486(99)00187-8.</w:t>
      </w:r>
    </w:p>
    <w:p w14:paraId="7FBF86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E13122">
        <w:rPr>
          <w:rFonts w:cs="Times New Roman"/>
          <w:i/>
          <w:iCs/>
          <w:noProof/>
          <w:szCs w:val="24"/>
        </w:rPr>
        <w:t>Fish Shellfish Immunol.</w:t>
      </w:r>
      <w:r w:rsidRPr="00E13122">
        <w:rPr>
          <w:rFonts w:cs="Times New Roman"/>
          <w:noProof/>
          <w:szCs w:val="24"/>
        </w:rPr>
        <w:t xml:space="preserve"> 35, 766–775. doi:10.1016/j.fsi.2013.06.014.</w:t>
      </w:r>
    </w:p>
    <w:p w14:paraId="71A5A3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E13122">
        <w:rPr>
          <w:rFonts w:cs="Times New Roman"/>
          <w:i/>
          <w:iCs/>
          <w:noProof/>
          <w:szCs w:val="24"/>
        </w:rPr>
        <w:t>J. Appl. Microbiol.</w:t>
      </w:r>
      <w:r w:rsidRPr="00E13122">
        <w:rPr>
          <w:rFonts w:cs="Times New Roman"/>
          <w:noProof/>
          <w:szCs w:val="24"/>
        </w:rPr>
        <w:t xml:space="preserve"> 122, 1333–1347. doi:10.1111/jam.13437.</w:t>
      </w:r>
    </w:p>
    <w:p w14:paraId="7A75B04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Groner, M. L., Maynard, J., Breyta, R., Carnegie, R. B., Dobson, A., Friedman, C. S., et al. (2016). Managing marine disease emergencies in an era of rapid change. </w:t>
      </w:r>
      <w:r w:rsidRPr="00E13122">
        <w:rPr>
          <w:rFonts w:cs="Times New Roman"/>
          <w:i/>
          <w:iCs/>
          <w:noProof/>
          <w:szCs w:val="24"/>
        </w:rPr>
        <w:t>Philos. Trans. R. Soc. B Biol. Sci.</w:t>
      </w:r>
      <w:r w:rsidRPr="00E13122">
        <w:rPr>
          <w:rFonts w:cs="Times New Roman"/>
          <w:noProof/>
          <w:szCs w:val="24"/>
        </w:rPr>
        <w:t xml:space="preserve"> 371, 20150364. doi:10.1098/rstb.2015.0364.</w:t>
      </w:r>
    </w:p>
    <w:p w14:paraId="0FF8C4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Hamblin, M., Spinard, E., Gomez-Chiarri, M., Nelson, D. R., and Rowley, D. C. (2015). Draft Genome Sequence of the Shellfish Larval Probiotic Bacillus pumilus RI06-95. </w:t>
      </w:r>
      <w:r w:rsidRPr="00E13122">
        <w:rPr>
          <w:rFonts w:cs="Times New Roman"/>
          <w:i/>
          <w:iCs/>
          <w:noProof/>
          <w:szCs w:val="24"/>
        </w:rPr>
        <w:t>Genome Announc.</w:t>
      </w:r>
      <w:r w:rsidRPr="00E13122">
        <w:rPr>
          <w:rFonts w:cs="Times New Roman"/>
          <w:noProof/>
          <w:szCs w:val="24"/>
        </w:rPr>
        <w:t xml:space="preserve"> 3, e00858-15. doi:10.1128/genomeA.00858-15.</w:t>
      </w:r>
    </w:p>
    <w:p w14:paraId="5587DC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Hazen, T. C., Dubinsky, E. A., DeSantis, T. Z., Andersen, G. L., Piceno, Y. M., Singh, N., et al. (2010). Deep-sea oil plume enriches indigenous oil-degrading bacteria. </w:t>
      </w:r>
      <w:r w:rsidRPr="00E13122">
        <w:rPr>
          <w:rFonts w:cs="Times New Roman"/>
          <w:i/>
          <w:iCs/>
          <w:noProof/>
          <w:szCs w:val="24"/>
        </w:rPr>
        <w:t>Science</w:t>
      </w:r>
      <w:r w:rsidRPr="00E13122">
        <w:rPr>
          <w:rFonts w:cs="Times New Roman"/>
          <w:noProof/>
          <w:szCs w:val="24"/>
        </w:rPr>
        <w:t xml:space="preserve"> 330, 204–8. doi:10.1126/science.1195979.</w:t>
      </w:r>
    </w:p>
    <w:p w14:paraId="581D70C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Helm, M. M., Bourne, N., and Lovatelli, A. (2004). </w:t>
      </w:r>
      <w:r w:rsidRPr="00E13122">
        <w:rPr>
          <w:rFonts w:cs="Times New Roman"/>
          <w:i/>
          <w:iCs/>
          <w:noProof/>
          <w:szCs w:val="24"/>
        </w:rPr>
        <w:t>Hatchery culture of bivalves: a practical manual</w:t>
      </w:r>
      <w:r w:rsidRPr="00E13122">
        <w:rPr>
          <w:rFonts w:cs="Times New Roman"/>
          <w:noProof/>
          <w:szCs w:val="24"/>
        </w:rPr>
        <w:t>. Food and agriculture organization of the United Nations.</w:t>
      </w:r>
    </w:p>
    <w:p w14:paraId="7C7BE3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Hernández-Zárate, G., and Olmos-Soto, J. (2006). Identification of bacterial diversity in the oyster Crassostrea gigas by fluorescent in situ hybridization and polymerase chain reaction. </w:t>
      </w:r>
      <w:r w:rsidRPr="00E13122">
        <w:rPr>
          <w:rFonts w:cs="Times New Roman"/>
          <w:i/>
          <w:iCs/>
          <w:noProof/>
          <w:szCs w:val="24"/>
        </w:rPr>
        <w:t>J. Appl. Microbiol.</w:t>
      </w:r>
      <w:r w:rsidRPr="00E13122">
        <w:rPr>
          <w:rFonts w:cs="Times New Roman"/>
          <w:noProof/>
          <w:szCs w:val="24"/>
        </w:rPr>
        <w:t xml:space="preserve"> 100, 664–672. doi:10.1111/j.1365-2672.2005.02800.x.</w:t>
      </w:r>
    </w:p>
    <w:p w14:paraId="37D925F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E13122">
        <w:rPr>
          <w:rFonts w:cs="Times New Roman"/>
          <w:i/>
          <w:iCs/>
          <w:noProof/>
          <w:szCs w:val="24"/>
        </w:rPr>
        <w:t>BMC Bioinformatics</w:t>
      </w:r>
      <w:r w:rsidRPr="00E13122">
        <w:rPr>
          <w:rFonts w:cs="Times New Roman"/>
          <w:noProof/>
          <w:szCs w:val="24"/>
        </w:rPr>
        <w:t xml:space="preserve"> 15, 41. doi:10.1186/1471-2105-15-41.</w:t>
      </w:r>
    </w:p>
    <w:p w14:paraId="2092DD8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3D4991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Jensen, S., Duperron, S., Birkeland, N.-K., and Hovland, M. (2010). Intracellular Oceanospirillales bacteria inhabit gills of Acesta bivalves. </w:t>
      </w:r>
      <w:r w:rsidRPr="00E13122">
        <w:rPr>
          <w:rFonts w:cs="Times New Roman"/>
          <w:i/>
          <w:iCs/>
          <w:noProof/>
          <w:szCs w:val="24"/>
        </w:rPr>
        <w:t>FEMS Microbiol. Ecol.</w:t>
      </w:r>
      <w:r w:rsidRPr="00E13122">
        <w:rPr>
          <w:rFonts w:cs="Times New Roman"/>
          <w:noProof/>
          <w:szCs w:val="24"/>
        </w:rPr>
        <w:t xml:space="preserve"> 74, 523–533. doi:10.1111/j.1574-6941.2010.00981.x.</w:t>
      </w:r>
    </w:p>
    <w:p w14:paraId="4A713EE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Kamiyama, T. (2004). The microbial loop in a eutrophic bay and its contribution to bivalve aquaculture. </w:t>
      </w:r>
      <w:r w:rsidRPr="00E13122">
        <w:rPr>
          <w:rFonts w:cs="Times New Roman"/>
          <w:i/>
          <w:iCs/>
          <w:noProof/>
          <w:szCs w:val="24"/>
        </w:rPr>
        <w:t>Fish. Res.</w:t>
      </w:r>
      <w:r w:rsidRPr="00E13122">
        <w:rPr>
          <w:rFonts w:cs="Times New Roman"/>
          <w:noProof/>
          <w:szCs w:val="24"/>
        </w:rPr>
        <w:t>, 41–50. Available at: https://www.fra.affrc.go.jp/bulletin/bull/bull-b1/07.pdf [Accessed April 18, 2018].</w:t>
      </w:r>
    </w:p>
    <w:p w14:paraId="758697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E13122">
        <w:rPr>
          <w:rFonts w:cs="Times New Roman"/>
          <w:i/>
          <w:iCs/>
          <w:noProof/>
          <w:szCs w:val="24"/>
        </w:rPr>
        <w:t>J. Shellfish Res.</w:t>
      </w:r>
      <w:r w:rsidRPr="00E13122">
        <w:rPr>
          <w:rFonts w:cs="Times New Roman"/>
          <w:noProof/>
          <w:szCs w:val="24"/>
        </w:rPr>
        <w:t xml:space="preserve"> 32, 401–408. doi:10.2983/035.032.0220.</w:t>
      </w:r>
    </w:p>
    <w:p w14:paraId="47685DF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Kaspar, H., Lategan, M. J., and Gibson, L. (2008). Probiotics in aquaculture: The need, principles and mechanisms of action and screening processes. </w:t>
      </w:r>
      <w:r w:rsidRPr="00E13122">
        <w:rPr>
          <w:rFonts w:cs="Times New Roman"/>
          <w:i/>
          <w:iCs/>
          <w:noProof/>
          <w:szCs w:val="24"/>
        </w:rPr>
        <w:t>Aquaculture</w:t>
      </w:r>
      <w:r w:rsidRPr="00E13122">
        <w:rPr>
          <w:rFonts w:cs="Times New Roman"/>
          <w:noProof/>
          <w:szCs w:val="24"/>
        </w:rPr>
        <w:t xml:space="preserve"> 274, 1–14. doi:10.1016/j.aquaculture.2007.11.019.</w:t>
      </w:r>
    </w:p>
    <w:p w14:paraId="09E893B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E13122">
        <w:rPr>
          <w:rFonts w:cs="Times New Roman"/>
          <w:i/>
          <w:iCs/>
          <w:noProof/>
          <w:szCs w:val="24"/>
        </w:rPr>
        <w:t>Aquaculture</w:t>
      </w:r>
      <w:r w:rsidRPr="00E13122">
        <w:rPr>
          <w:rFonts w:cs="Times New Roman"/>
          <w:noProof/>
          <w:szCs w:val="24"/>
        </w:rPr>
        <w:t xml:space="preserve"> 344–349, 29–34. doi:10.1016/j.aquaculture.2012.02.029.</w:t>
      </w:r>
    </w:p>
    <w:p w14:paraId="3A785B1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King, G. M., Judd, C., Kuske, C. R., and Smith, C. (2012). Analysis of Stomach and Gut Microbiomes of the Eastern Oyster (Crassostrea virginica) from Coastal Louisiana, USA. </w:t>
      </w:r>
      <w:r w:rsidRPr="00E13122">
        <w:rPr>
          <w:rFonts w:cs="Times New Roman"/>
          <w:i/>
          <w:iCs/>
          <w:noProof/>
          <w:szCs w:val="24"/>
        </w:rPr>
        <w:t>PLoS One</w:t>
      </w:r>
      <w:r w:rsidRPr="00E13122">
        <w:rPr>
          <w:rFonts w:cs="Times New Roman"/>
          <w:noProof/>
          <w:szCs w:val="24"/>
        </w:rPr>
        <w:t xml:space="preserve"> 7. doi:10.1371/journal.pone.0051475.</w:t>
      </w:r>
    </w:p>
    <w:p w14:paraId="364AE8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Lafferty, K. D., Harvell, C. D., Conrad, J. M., Friedman, C. S., Kent, M. L., Kuris, A. M., et al. (2015). Infectious Diseases Affect Marine Fisheries and Aquaculture Economics. </w:t>
      </w:r>
      <w:r w:rsidRPr="00E13122">
        <w:rPr>
          <w:rFonts w:cs="Times New Roman"/>
          <w:i/>
          <w:iCs/>
          <w:noProof/>
          <w:szCs w:val="24"/>
        </w:rPr>
        <w:t>Ann. Rev. Mar. Sci.</w:t>
      </w:r>
      <w:r w:rsidRPr="00E13122">
        <w:rPr>
          <w:rFonts w:cs="Times New Roman"/>
          <w:noProof/>
          <w:szCs w:val="24"/>
        </w:rPr>
        <w:t xml:space="preserve"> 7, 471–496. doi:10.1146/annurev-marine-010814-015646.</w:t>
      </w:r>
    </w:p>
    <w:p w14:paraId="72C864B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E13122">
        <w:rPr>
          <w:rFonts w:cs="Times New Roman"/>
          <w:i/>
          <w:iCs/>
          <w:noProof/>
          <w:szCs w:val="24"/>
        </w:rPr>
        <w:t>BMC Microbiol.</w:t>
      </w:r>
      <w:r w:rsidRPr="00E13122">
        <w:rPr>
          <w:rFonts w:cs="Times New Roman"/>
          <w:noProof/>
          <w:szCs w:val="24"/>
        </w:rPr>
        <w:t xml:space="preserve"> 17, 175. doi:10.1186/s12866-017-1090-7.</w:t>
      </w:r>
    </w:p>
    <w:p w14:paraId="0CCC34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Le Roux, F., Wegner, K. M., and Polz, M. F. (2016). Oysters and Vibrios as a Model for Disease Dynamics in Wild Animals. </w:t>
      </w:r>
      <w:r w:rsidRPr="00E13122">
        <w:rPr>
          <w:rFonts w:cs="Times New Roman"/>
          <w:i/>
          <w:iCs/>
          <w:noProof/>
          <w:szCs w:val="24"/>
        </w:rPr>
        <w:t>Trends Microbiol.</w:t>
      </w:r>
      <w:r w:rsidRPr="00E13122">
        <w:rPr>
          <w:rFonts w:cs="Times New Roman"/>
          <w:noProof/>
          <w:szCs w:val="24"/>
        </w:rPr>
        <w:t xml:space="preserve"> 24, 568–580. doi:10.1016/j.tim.2016.03.006.</w:t>
      </w:r>
    </w:p>
    <w:p w14:paraId="1103BD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Goedknegt, M. A., Thieltges, D. W., Fiorentino, D., Kuenzel, S., Baines, J. F., et al. (2016a). Spatial and temporal dynamics of pacific oyster hemolymph microbiota across multiple scales. </w:t>
      </w:r>
      <w:r w:rsidRPr="00E13122">
        <w:rPr>
          <w:rFonts w:cs="Times New Roman"/>
          <w:i/>
          <w:iCs/>
          <w:noProof/>
          <w:szCs w:val="24"/>
        </w:rPr>
        <w:t>Front. Microbiol.</w:t>
      </w:r>
      <w:r w:rsidRPr="00E13122">
        <w:rPr>
          <w:rFonts w:cs="Times New Roman"/>
          <w:noProof/>
          <w:szCs w:val="24"/>
        </w:rPr>
        <w:t xml:space="preserve"> 7, 1367. doi:10.3389/fmicb.2016.01367.</w:t>
      </w:r>
    </w:p>
    <w:p w14:paraId="578695D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Lokmer, A., Kuenzel, S., Baines, J. F., and Wegner, K. M. (2016b). The role of tissue-specific microbiota in initial establishment success of Pacific oysters. </w:t>
      </w:r>
      <w:r w:rsidRPr="00E13122">
        <w:rPr>
          <w:rFonts w:cs="Times New Roman"/>
          <w:i/>
          <w:iCs/>
          <w:noProof/>
          <w:szCs w:val="24"/>
        </w:rPr>
        <w:t>Environ. Microbiol.</w:t>
      </w:r>
      <w:r w:rsidRPr="00E13122">
        <w:rPr>
          <w:rFonts w:cs="Times New Roman"/>
          <w:noProof/>
          <w:szCs w:val="24"/>
        </w:rPr>
        <w:t xml:space="preserve"> 18, 970–987. doi:10.1111/1462-2920.13163.</w:t>
      </w:r>
    </w:p>
    <w:p w14:paraId="612EA5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and Mathias Wegner, K. (2015). Hemolymph microbiome of Pacific oysters in response to temperature, temperature stress and infection. </w:t>
      </w:r>
      <w:r w:rsidRPr="00E13122">
        <w:rPr>
          <w:rFonts w:cs="Times New Roman"/>
          <w:i/>
          <w:iCs/>
          <w:noProof/>
          <w:szCs w:val="24"/>
        </w:rPr>
        <w:t>ISME J.</w:t>
      </w:r>
      <w:r w:rsidRPr="00E13122">
        <w:rPr>
          <w:rFonts w:cs="Times New Roman"/>
          <w:noProof/>
          <w:szCs w:val="24"/>
        </w:rPr>
        <w:t xml:space="preserve"> 9, 670–682. doi:10.1038/ismej.2014.160.</w:t>
      </w:r>
    </w:p>
    <w:p w14:paraId="5589740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Mckindsey, C. W., Landry, T., Beirn, F. X. O., and Davies, I. A. N. M. (2007). Bivalve Aquaculture and Exotic Species : a Review of Ecological Considerations and Management Issues. </w:t>
      </w:r>
      <w:r w:rsidRPr="00E13122">
        <w:rPr>
          <w:rFonts w:cs="Times New Roman"/>
          <w:i/>
          <w:iCs/>
          <w:noProof/>
          <w:szCs w:val="24"/>
        </w:rPr>
        <w:t>http://dx.doi.org/10.2983/0730-8000(2007)26[281:BAAESA]2.0.CO;2</w:t>
      </w:r>
      <w:r w:rsidRPr="00E13122">
        <w:rPr>
          <w:rFonts w:cs="Times New Roman"/>
          <w:noProof/>
          <w:szCs w:val="24"/>
        </w:rPr>
        <w:t xml:space="preserve"> 26, 281–294. doi:10.2983/0730-8000(2007)26[281:BAAESA]2.0.CO;2.</w:t>
      </w:r>
    </w:p>
    <w:p w14:paraId="1534718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McMurdie, P. J., and Holmes, S. (2013). Phyloseq: An R Package for Reproducible Interactive Analysis and Graphics of Microbiome Census Data. </w:t>
      </w:r>
      <w:r w:rsidRPr="00E13122">
        <w:rPr>
          <w:rFonts w:cs="Times New Roman"/>
          <w:i/>
          <w:iCs/>
          <w:noProof/>
          <w:szCs w:val="24"/>
        </w:rPr>
        <w:t>PLoS One</w:t>
      </w:r>
      <w:r w:rsidRPr="00E13122">
        <w:rPr>
          <w:rFonts w:cs="Times New Roman"/>
          <w:noProof/>
          <w:szCs w:val="24"/>
        </w:rPr>
        <w:t xml:space="preserve"> 8, e61217. doi:10.1371/journal.pone.0061217.</w:t>
      </w:r>
    </w:p>
    <w:p w14:paraId="17F42B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Merrifield, D. L., and Carnevali, O. (2014). Probiotic Modulation of the Gut Microbiota of Fish. </w:t>
      </w:r>
      <w:r w:rsidRPr="00E13122">
        <w:rPr>
          <w:rFonts w:cs="Times New Roman"/>
          <w:i/>
          <w:iCs/>
          <w:noProof/>
          <w:szCs w:val="24"/>
        </w:rPr>
        <w:t>Aquac. Nutr.</w:t>
      </w:r>
      <w:r w:rsidRPr="00E13122">
        <w:rPr>
          <w:rFonts w:cs="Times New Roman"/>
          <w:noProof/>
          <w:szCs w:val="24"/>
        </w:rPr>
        <w:t xml:space="preserve"> 588, 185–222. doi:10.1002/9781118897263.ch8.</w:t>
      </w:r>
    </w:p>
    <w:p w14:paraId="0D263CD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EF9E1E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Natrah, F. M. I., Bossier, P., Sorgeloos, P., Yusoff, F. M., and Defoirdt, T. (2014). Significance of microalgal-bacterial interactions for aquaculture. </w:t>
      </w:r>
      <w:r w:rsidRPr="00E13122">
        <w:rPr>
          <w:rFonts w:cs="Times New Roman"/>
          <w:i/>
          <w:iCs/>
          <w:noProof/>
          <w:szCs w:val="24"/>
        </w:rPr>
        <w:t>Rev. Aquac.</w:t>
      </w:r>
      <w:r w:rsidRPr="00E13122">
        <w:rPr>
          <w:rFonts w:cs="Times New Roman"/>
          <w:noProof/>
          <w:szCs w:val="24"/>
        </w:rPr>
        <w:t xml:space="preserve"> 6, 48–61. doi:10.1111/raq.12024.</w:t>
      </w:r>
    </w:p>
    <w:p w14:paraId="235AFD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Nevejan, N., De Schryver, P., Wille, M., Dierckens, K., Baruah, K., and Van Stappen, G. (2016). Bacteria as food in aquaculture: Do they make a difference? </w:t>
      </w:r>
      <w:r w:rsidRPr="00E13122">
        <w:rPr>
          <w:rFonts w:cs="Times New Roman"/>
          <w:i/>
          <w:iCs/>
          <w:noProof/>
          <w:szCs w:val="24"/>
        </w:rPr>
        <w:t>Rev. Aquac.</w:t>
      </w:r>
      <w:r w:rsidRPr="00E13122">
        <w:rPr>
          <w:rFonts w:cs="Times New Roman"/>
          <w:noProof/>
          <w:szCs w:val="24"/>
        </w:rPr>
        <w:t xml:space="preserve"> 10, 180–212. doi:10.1111/raq.12155.</w:t>
      </w:r>
    </w:p>
    <w:p w14:paraId="74CD609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Newaj-Fyzul, A., Al-Harbi, A. H., and Austin, B. (2014). Review: Developments in the use of probiotics for disease control in aquaculture. </w:t>
      </w:r>
      <w:r w:rsidRPr="00E13122">
        <w:rPr>
          <w:rFonts w:cs="Times New Roman"/>
          <w:i/>
          <w:iCs/>
          <w:noProof/>
          <w:szCs w:val="24"/>
        </w:rPr>
        <w:t>Aquaculture</w:t>
      </w:r>
      <w:r w:rsidRPr="00E13122">
        <w:rPr>
          <w:rFonts w:cs="Times New Roman"/>
          <w:noProof/>
          <w:szCs w:val="24"/>
        </w:rPr>
        <w:t xml:space="preserve"> 431, 1–11. doi:10.1016/j.aquaculture.2013.08.026.</w:t>
      </w:r>
    </w:p>
    <w:p w14:paraId="05FF70B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Newell, R. I., and Jordan, S. J. (1983). Preferential ingestion of organic material by the American oyster Crassostrea virginica. </w:t>
      </w:r>
      <w:r w:rsidRPr="00E13122">
        <w:rPr>
          <w:rFonts w:cs="Times New Roman"/>
          <w:i/>
          <w:iCs/>
          <w:noProof/>
          <w:szCs w:val="24"/>
        </w:rPr>
        <w:t>Mar. Ecol. - Prog. Ser.</w:t>
      </w:r>
      <w:r w:rsidRPr="00E13122">
        <w:rPr>
          <w:rFonts w:cs="Times New Roman"/>
          <w:noProof/>
          <w:szCs w:val="24"/>
        </w:rPr>
        <w:t xml:space="preserve"> 13, 47–53. doi:10.3354/meps013047.</w:t>
      </w:r>
    </w:p>
    <w:p w14:paraId="33944A6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Pérez-Sánchez, T., Mora-Sánchez, B., and Balcázar, J. L. (2018). Biological Approaches for Disease Control in Aquaculture: Advantages, Limitations and Challenges. </w:t>
      </w:r>
      <w:r w:rsidRPr="00E13122">
        <w:rPr>
          <w:rFonts w:cs="Times New Roman"/>
          <w:i/>
          <w:iCs/>
          <w:noProof/>
          <w:szCs w:val="24"/>
        </w:rPr>
        <w:t>Trends Microbiol.</w:t>
      </w:r>
      <w:r w:rsidRPr="00E13122">
        <w:rPr>
          <w:rFonts w:cs="Times New Roman"/>
          <w:noProof/>
          <w:szCs w:val="24"/>
        </w:rPr>
        <w:t xml:space="preserve"> 26, 896–903. doi:10.1016/j.tim.2018.05.002.</w:t>
      </w:r>
    </w:p>
    <w:p w14:paraId="5AF6A8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E13122">
        <w:rPr>
          <w:rFonts w:cs="Times New Roman"/>
          <w:i/>
          <w:iCs/>
          <w:noProof/>
          <w:szCs w:val="24"/>
        </w:rPr>
        <w:t>Hydrobiologia</w:t>
      </w:r>
      <w:r w:rsidRPr="00E13122">
        <w:rPr>
          <w:rFonts w:cs="Times New Roman"/>
          <w:noProof/>
          <w:szCs w:val="24"/>
        </w:rPr>
        <w:t xml:space="preserve"> 765, 97–113. doi:10.1007/s10750-015-2405-z.</w:t>
      </w:r>
    </w:p>
    <w:p w14:paraId="43A5969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Powell, S. M., Chapman, C. C., Bermudes, M., and Tamplin, M. L. (2013). Dynamics of Seawater Bacterial Communities in a Shellfish Hatchery. </w:t>
      </w:r>
      <w:r w:rsidRPr="00E13122">
        <w:rPr>
          <w:rFonts w:cs="Times New Roman"/>
          <w:i/>
          <w:iCs/>
          <w:noProof/>
          <w:szCs w:val="24"/>
        </w:rPr>
        <w:t>Microb. Ecol.</w:t>
      </w:r>
      <w:r w:rsidRPr="00E13122">
        <w:rPr>
          <w:rFonts w:cs="Times New Roman"/>
          <w:noProof/>
          <w:szCs w:val="24"/>
        </w:rPr>
        <w:t xml:space="preserve"> 66, 245–256. doi:10.1007/s00248-013-0183-6.</w:t>
      </w:r>
    </w:p>
    <w:p w14:paraId="428E9EB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Richards, G. P., Watson, M. A., Needleman, D. S., Church, K. M., and Häse, C. C. (2015a). Mortalities of Eastern And Pacific oyster larvae caused by the pathogens Vibrio coralliilyticus and Vibrio tubiashii. </w:t>
      </w:r>
      <w:r w:rsidRPr="00E13122">
        <w:rPr>
          <w:rFonts w:cs="Times New Roman"/>
          <w:i/>
          <w:iCs/>
          <w:noProof/>
          <w:szCs w:val="24"/>
        </w:rPr>
        <w:t>Appl. Environ. Microbiol.</w:t>
      </w:r>
      <w:r w:rsidRPr="00E13122">
        <w:rPr>
          <w:rFonts w:cs="Times New Roman"/>
          <w:noProof/>
          <w:szCs w:val="24"/>
        </w:rPr>
        <w:t xml:space="preserve"> 81, 292–297. doi:10.1128/AEM.02930-14.</w:t>
      </w:r>
    </w:p>
    <w:p w14:paraId="746B51A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E13122">
        <w:rPr>
          <w:rFonts w:cs="Times New Roman"/>
          <w:i/>
          <w:iCs/>
          <w:noProof/>
          <w:szCs w:val="24"/>
        </w:rPr>
        <w:t>Fish. Res.</w:t>
      </w:r>
      <w:r w:rsidRPr="00E13122">
        <w:rPr>
          <w:rFonts w:cs="Times New Roman"/>
          <w:noProof/>
          <w:szCs w:val="24"/>
        </w:rPr>
        <w:t xml:space="preserve"> doi:10.1016/j.fishres.2014.06.013.</w:t>
      </w:r>
    </w:p>
    <w:p w14:paraId="542873F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Romalde, J. L., Diéguez, A. L., Lasa, A., and Balboa, S. (2014). New Vibrio species associated to molluscan microbiota: A review. </w:t>
      </w:r>
      <w:r w:rsidRPr="00E13122">
        <w:rPr>
          <w:rFonts w:cs="Times New Roman"/>
          <w:i/>
          <w:iCs/>
          <w:noProof/>
          <w:szCs w:val="24"/>
        </w:rPr>
        <w:t>Front. Microbiol.</w:t>
      </w:r>
      <w:r w:rsidRPr="00E13122">
        <w:rPr>
          <w:rFonts w:cs="Times New Roman"/>
          <w:noProof/>
          <w:szCs w:val="24"/>
        </w:rPr>
        <w:t xml:space="preserve"> 4, 413. doi:10.3389/fmicb.2013.00413.</w:t>
      </w:r>
    </w:p>
    <w:p w14:paraId="2EF4E3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Schmidt, V., Gomez-Chiarri, M., Roy, C., Smith, K., and Amaral-Zettler, L. (2017). Subtle Microbiome Manipulation Using Probiotics Reduces Antibiotic-Associated Mortality in Fish. </w:t>
      </w:r>
      <w:r w:rsidRPr="00E13122">
        <w:rPr>
          <w:rFonts w:cs="Times New Roman"/>
          <w:i/>
          <w:iCs/>
          <w:noProof/>
          <w:szCs w:val="24"/>
        </w:rPr>
        <w:t>mSystems</w:t>
      </w:r>
      <w:r w:rsidRPr="00E13122">
        <w:rPr>
          <w:rFonts w:cs="Times New Roman"/>
          <w:noProof/>
          <w:szCs w:val="24"/>
        </w:rPr>
        <w:t xml:space="preserve"> 2, e00133-17. doi:10.1128/mSystems.00133-17.</w:t>
      </w:r>
    </w:p>
    <w:p w14:paraId="03CA93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Shannon, P., Markiel, A., Ozier, O., Baliga, N. S., Wang, J. T., Ramage, D., et al. (2003). Cytoscape: A software Environment for integrated models of biomolecular interaction networks. </w:t>
      </w:r>
      <w:r w:rsidRPr="00E13122">
        <w:rPr>
          <w:rFonts w:cs="Times New Roman"/>
          <w:i/>
          <w:iCs/>
          <w:noProof/>
          <w:szCs w:val="24"/>
        </w:rPr>
        <w:t>Genome Res.</w:t>
      </w:r>
      <w:r w:rsidRPr="00E13122">
        <w:rPr>
          <w:rFonts w:cs="Times New Roman"/>
          <w:noProof/>
          <w:szCs w:val="24"/>
        </w:rPr>
        <w:t xml:space="preserve"> 13, 2498–2504. doi:10.1101/gr.1239303.</w:t>
      </w:r>
    </w:p>
    <w:p w14:paraId="0D97072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Sinigalliano, C. D., Gidley, M. L., Shibata, T., Whitman, D., Dixon, T. H., Laws, E., et al. (2007). Impacts of Hurricanes Katrina and Rita on the microbial landscape of the New Orleans area. </w:t>
      </w:r>
      <w:r w:rsidRPr="00E13122">
        <w:rPr>
          <w:rFonts w:cs="Times New Roman"/>
          <w:i/>
          <w:iCs/>
          <w:noProof/>
          <w:szCs w:val="24"/>
        </w:rPr>
        <w:t>Proc. Natl. Acad. Sci. U. S. A.</w:t>
      </w:r>
      <w:r w:rsidRPr="00E13122">
        <w:rPr>
          <w:rFonts w:cs="Times New Roman"/>
          <w:noProof/>
          <w:szCs w:val="24"/>
        </w:rPr>
        <w:t xml:space="preserve"> 104, 9029–9034. doi:10.1073/pnas.0610552104.</w:t>
      </w:r>
    </w:p>
    <w:p w14:paraId="75FA781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Socha, A. M. (2008). Chemistry of Antibiotics from Atlantic Actinomycete and Bacillus bacteria.</w:t>
      </w:r>
    </w:p>
    <w:p w14:paraId="24DF415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E13122">
        <w:rPr>
          <w:rFonts w:cs="Times New Roman"/>
          <w:i/>
          <w:iCs/>
          <w:noProof/>
          <w:szCs w:val="24"/>
        </w:rPr>
        <w:t>J. Shellfish Res.</w:t>
      </w:r>
      <w:r w:rsidRPr="00E13122">
        <w:rPr>
          <w:rFonts w:cs="Times New Roman"/>
          <w:noProof/>
          <w:szCs w:val="24"/>
        </w:rPr>
        <w:t xml:space="preserve"> 35, 319–328. doi:10.2983/035.035.0206.</w:t>
      </w:r>
    </w:p>
    <w:p w14:paraId="23DB494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E13122">
        <w:rPr>
          <w:rFonts w:cs="Times New Roman"/>
          <w:i/>
          <w:iCs/>
          <w:noProof/>
          <w:szCs w:val="24"/>
        </w:rPr>
        <w:t>Appl. Microbiol. Biotechnol.</w:t>
      </w:r>
      <w:r w:rsidRPr="00E13122">
        <w:rPr>
          <w:rFonts w:cs="Times New Roman"/>
          <w:noProof/>
          <w:szCs w:val="24"/>
        </w:rPr>
        <w:t xml:space="preserve"> 99, 8403–8417. doi:10.1007/s00253-015-6702-2.</w:t>
      </w:r>
    </w:p>
    <w:p w14:paraId="2E960C7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Stentiford, G. D., Neil, D. M., Peeler, E. J., Shields, J. D., Small, H. J., Flegel, T. W., et al. (2012). Disease will limit future food supply from the global crustacean fishery and aquaculture sectors. </w:t>
      </w:r>
      <w:r w:rsidRPr="00E13122">
        <w:rPr>
          <w:rFonts w:cs="Times New Roman"/>
          <w:i/>
          <w:iCs/>
          <w:noProof/>
          <w:szCs w:val="24"/>
        </w:rPr>
        <w:t>J. Invertebr. Pathol.</w:t>
      </w:r>
      <w:r w:rsidRPr="00E13122">
        <w:rPr>
          <w:rFonts w:cs="Times New Roman"/>
          <w:noProof/>
          <w:szCs w:val="24"/>
        </w:rPr>
        <w:t xml:space="preserve"> 110, 141–157. doi:10.1016/j.jip.2012.03.013.</w:t>
      </w:r>
    </w:p>
    <w:p w14:paraId="4D6A1B5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Tangl, J. S. (1983). Vibrio orientalis. </w:t>
      </w:r>
      <w:r w:rsidRPr="00E13122">
        <w:rPr>
          <w:rFonts w:cs="Times New Roman"/>
          <w:i/>
          <w:iCs/>
          <w:noProof/>
          <w:szCs w:val="24"/>
        </w:rPr>
        <w:t>Current</w:t>
      </w:r>
      <w:r w:rsidRPr="00E13122">
        <w:rPr>
          <w:rFonts w:cs="Times New Roman"/>
          <w:noProof/>
          <w:szCs w:val="24"/>
        </w:rPr>
        <w:t xml:space="preserve"> 8, 95–100. doi:10.1007/BF01566965.</w:t>
      </w:r>
    </w:p>
    <w:p w14:paraId="7AA86D3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E13122">
        <w:rPr>
          <w:rFonts w:cs="Times New Roman"/>
          <w:i/>
          <w:iCs/>
          <w:noProof/>
          <w:szCs w:val="24"/>
        </w:rPr>
        <w:t>Microb. Biotechnol.</w:t>
      </w:r>
      <w:r w:rsidRPr="00E13122">
        <w:rPr>
          <w:rFonts w:cs="Times New Roman"/>
          <w:noProof/>
          <w:szCs w:val="24"/>
        </w:rPr>
        <w:t xml:space="preserve"> 9, 209–223. doi:10.1111/1751-7915.12334.</w:t>
      </w:r>
    </w:p>
    <w:p w14:paraId="2A73AEA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E13122">
        <w:rPr>
          <w:rFonts w:cs="Times New Roman"/>
          <w:i/>
          <w:iCs/>
          <w:noProof/>
          <w:szCs w:val="24"/>
        </w:rPr>
        <w:t>FEMS Microbiol. Ecol.</w:t>
      </w:r>
      <w:r w:rsidRPr="00E13122">
        <w:rPr>
          <w:rFonts w:cs="Times New Roman"/>
          <w:noProof/>
          <w:szCs w:val="24"/>
        </w:rPr>
        <w:t xml:space="preserve"> 88, 69–83. doi:10.1111/1574-6941.12270.</w:t>
      </w:r>
    </w:p>
    <w:p w14:paraId="330103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Tremblay, J., Singh, K., Fern, A., Kirton, E. S., He, S., Woyke, T., et al. (2015). Primer and platform </w:t>
      </w:r>
      <w:r w:rsidRPr="00E13122">
        <w:rPr>
          <w:rFonts w:cs="Times New Roman"/>
          <w:noProof/>
          <w:szCs w:val="24"/>
        </w:rPr>
        <w:lastRenderedPageBreak/>
        <w:t xml:space="preserve">effects on 16S rRNA tag sequencing. </w:t>
      </w:r>
      <w:r w:rsidRPr="00E13122">
        <w:rPr>
          <w:rFonts w:cs="Times New Roman"/>
          <w:i/>
          <w:iCs/>
          <w:noProof/>
          <w:szCs w:val="24"/>
        </w:rPr>
        <w:t>Front. Microbiol.</w:t>
      </w:r>
      <w:r w:rsidRPr="00E13122">
        <w:rPr>
          <w:rFonts w:cs="Times New Roman"/>
          <w:noProof/>
          <w:szCs w:val="24"/>
        </w:rPr>
        <w:t xml:space="preserve"> 6, 771. doi:10.3389/fmicb.2015.00771.</w:t>
      </w:r>
    </w:p>
    <w:p w14:paraId="48FEB13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Vaseeharan, B., and Ramasamy, P. (2003). Control of pathogenic Vibrio spp. by Bacillus subtilis BT23, a possible probiotic treatment for black tiger shrimp Penaeus monodon. </w:t>
      </w:r>
      <w:r w:rsidRPr="00E13122">
        <w:rPr>
          <w:rFonts w:cs="Times New Roman"/>
          <w:i/>
          <w:iCs/>
          <w:noProof/>
          <w:szCs w:val="24"/>
        </w:rPr>
        <w:t>Lett. Appl. Microbiol.</w:t>
      </w:r>
      <w:r w:rsidRPr="00E13122">
        <w:rPr>
          <w:rFonts w:cs="Times New Roman"/>
          <w:noProof/>
          <w:szCs w:val="24"/>
        </w:rPr>
        <w:t xml:space="preserve"> 36, 83–87. doi:10.1046/j.1472-765X.2003.01255.x.</w:t>
      </w:r>
    </w:p>
    <w:p w14:paraId="6DE0989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Verschuere, L., Rombaut, G., Sorgeloos, P., and Verstraete, W. (2000). Probiotic Bacteria as Biological Control Agents in Aquaculture. </w:t>
      </w:r>
      <w:r w:rsidRPr="00E13122">
        <w:rPr>
          <w:rFonts w:cs="Times New Roman"/>
          <w:i/>
          <w:iCs/>
          <w:noProof/>
          <w:szCs w:val="24"/>
        </w:rPr>
        <w:t>Microbiol. Mol. Biol. Rev.</w:t>
      </w:r>
      <w:r w:rsidRPr="00E13122">
        <w:rPr>
          <w:rFonts w:cs="Times New Roman"/>
          <w:noProof/>
          <w:szCs w:val="24"/>
        </w:rPr>
        <w:t xml:space="preserve"> 64, 655–671. doi:10.1128/MMBR.64.4.655-671.2000.</w:t>
      </w:r>
    </w:p>
    <w:p w14:paraId="5C49BE8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Wegner, K., Volkenborn, N., Peter, H., and Eiler, A. (2013). Disturbance induced decoupling between host genetics and composition of the associated microbiome. </w:t>
      </w:r>
      <w:r w:rsidRPr="00E13122">
        <w:rPr>
          <w:rFonts w:cs="Times New Roman"/>
          <w:i/>
          <w:iCs/>
          <w:noProof/>
          <w:szCs w:val="24"/>
        </w:rPr>
        <w:t>BMC Microbiol.</w:t>
      </w:r>
      <w:r w:rsidRPr="00E13122">
        <w:rPr>
          <w:rFonts w:cs="Times New Roman"/>
          <w:noProof/>
          <w:szCs w:val="24"/>
        </w:rPr>
        <w:t xml:space="preserve"> 13, 252. doi:10.1186/1471-2180-13-252.</w:t>
      </w:r>
    </w:p>
    <w:p w14:paraId="141E2DD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Dao, C., Karim, M., Gomez-Chiarri, M., Rowley, D., and Nelson, D. R. (2016). Contributions of tropodithietic acid and biofilm formation to the probiotic activity of Phaeobacter inhibens. </w:t>
      </w:r>
      <w:r w:rsidRPr="00E13122">
        <w:rPr>
          <w:rFonts w:cs="Times New Roman"/>
          <w:i/>
          <w:iCs/>
          <w:noProof/>
          <w:szCs w:val="24"/>
        </w:rPr>
        <w:t>BMC Microbiol.</w:t>
      </w:r>
      <w:r w:rsidRPr="00E13122">
        <w:rPr>
          <w:rFonts w:cs="Times New Roman"/>
          <w:noProof/>
          <w:szCs w:val="24"/>
        </w:rPr>
        <w:t xml:space="preserve"> 16, 1. doi:10.1186/s12866-015-0617-z.</w:t>
      </w:r>
    </w:p>
    <w:p w14:paraId="64D03A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E13122">
        <w:rPr>
          <w:rFonts w:cs="Times New Roman"/>
          <w:i/>
          <w:iCs/>
          <w:noProof/>
          <w:szCs w:val="24"/>
        </w:rPr>
        <w:t>Appl. Environ. Microbiol.</w:t>
      </w:r>
      <w:r w:rsidRPr="00E13122">
        <w:rPr>
          <w:rFonts w:cs="Times New Roman"/>
          <w:noProof/>
          <w:szCs w:val="24"/>
        </w:rPr>
        <w:t xml:space="preserve"> doi:10.1128/AEM.01545-18.</w:t>
      </w:r>
    </w:p>
    <w:p w14:paraId="2372C44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Zou, Y., Ma, C., Zhang, Y., Du, Z., You, F., Tan, X., et al. (2016). Isolation and characterization of Vibrio alginolyticus from cultured amphioxus Branchiostoma belcheri tsingtauense. </w:t>
      </w:r>
      <w:r w:rsidRPr="00E13122">
        <w:rPr>
          <w:rFonts w:cs="Times New Roman"/>
          <w:i/>
          <w:iCs/>
          <w:noProof/>
          <w:szCs w:val="24"/>
        </w:rPr>
        <w:t>Biol.</w:t>
      </w:r>
      <w:r w:rsidRPr="00E13122">
        <w:rPr>
          <w:rFonts w:cs="Times New Roman"/>
          <w:noProof/>
          <w:szCs w:val="24"/>
        </w:rPr>
        <w:t xml:space="preserve"> 71, 757–762. doi:10.1515/biolog-2016-0102.</w:t>
      </w:r>
    </w:p>
    <w:p w14:paraId="04E01077" w14:textId="77777777" w:rsidR="00E13122" w:rsidRPr="00E13122" w:rsidRDefault="00E13122" w:rsidP="00E13122">
      <w:pPr>
        <w:widowControl w:val="0"/>
        <w:autoSpaceDE w:val="0"/>
        <w:autoSpaceDN w:val="0"/>
        <w:adjustRightInd w:val="0"/>
        <w:ind w:left="480" w:hanging="480"/>
        <w:rPr>
          <w:rFonts w:cs="Times New Roman"/>
          <w:noProof/>
        </w:rPr>
      </w:pPr>
      <w:r w:rsidRPr="00E13122">
        <w:rPr>
          <w:rFonts w:cs="Times New Roman"/>
          <w:noProof/>
          <w:szCs w:val="24"/>
        </w:rPr>
        <w:t xml:space="preserve">Zurel, D., Benayahu, Y., Or, A., Kovacs, A., and Gophna, U. (2011). Composition and dynamics of the gill microbiota of an invasive Indo-Pacific oyster in the eastern Mediterranean Sea. </w:t>
      </w:r>
      <w:r w:rsidRPr="00E13122">
        <w:rPr>
          <w:rFonts w:cs="Times New Roman"/>
          <w:i/>
          <w:iCs/>
          <w:noProof/>
          <w:szCs w:val="24"/>
        </w:rPr>
        <w:t>Environ. Microbiol.</w:t>
      </w:r>
      <w:r w:rsidRPr="00E13122">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becca Stevick" w:date="2018-12-04T11:32:00Z" w:initials="RS">
    <w:p w14:paraId="42FAB13B" w14:textId="26E1C690" w:rsidR="00C50D9F" w:rsidRDefault="00C50D9F">
      <w:pPr>
        <w:pStyle w:val="CommentText"/>
      </w:pPr>
      <w:r>
        <w:rPr>
          <w:rStyle w:val="CommentReference"/>
        </w:rPr>
        <w:annotationRef/>
      </w:r>
      <w:proofErr w:type="spellStart"/>
      <w:r>
        <w:t>Bomi</w:t>
      </w:r>
      <w:proofErr w:type="spellEnd"/>
      <w:r>
        <w:t>, what is your current affiliation?</w:t>
      </w:r>
    </w:p>
  </w:comment>
  <w:comment w:id="1" w:author="Rebecca Stevick" w:date="2018-12-04T11:32:00Z" w:initials="RS">
    <w:p w14:paraId="41923D7F" w14:textId="3F65FEF0" w:rsidR="00952619" w:rsidRDefault="00952619">
      <w:pPr>
        <w:pStyle w:val="CommentText"/>
      </w:pPr>
      <w:r>
        <w:rPr>
          <w:rStyle w:val="CommentReference"/>
        </w:rPr>
        <w:annotationRef/>
      </w:r>
      <w:r>
        <w:t>Karin’s current affiliation?</w:t>
      </w:r>
    </w:p>
  </w:comment>
  <w:comment w:id="2" w:author="Rebecca Stevick" w:date="2018-12-04T11:33:00Z" w:initials="RS">
    <w:p w14:paraId="289197A3" w14:textId="6D360C33" w:rsidR="00F77E49" w:rsidRDefault="00F77E49">
      <w:pPr>
        <w:pStyle w:val="CommentText"/>
      </w:pPr>
      <w:r>
        <w:rPr>
          <w:rStyle w:val="CommentReference"/>
        </w:rPr>
        <w:annotationRef/>
      </w:r>
      <w:r>
        <w:t>Anton, is this correct?</w:t>
      </w:r>
    </w:p>
  </w:comment>
  <w:comment w:id="4" w:author="Marta Gomez-Chiarri" w:date="2018-08-09T08:20:00Z" w:initials="MGC">
    <w:p w14:paraId="6ABFC5AD" w14:textId="58F8684C" w:rsidR="009E690A" w:rsidRDefault="009E690A">
      <w:pPr>
        <w:pStyle w:val="CommentText"/>
      </w:pPr>
      <w:r>
        <w:rPr>
          <w:rStyle w:val="CommentReference"/>
        </w:rPr>
        <w:annotationRef/>
      </w:r>
      <w:r>
        <w:t>Get the most recent number once we are ready to submit</w:t>
      </w:r>
    </w:p>
  </w:comment>
  <w:comment w:id="5" w:author="Rebecca Stevick" w:date="2018-11-30T13:56:00Z" w:initials="RS">
    <w:p w14:paraId="75333BEF" w14:textId="498F468C" w:rsidR="009E690A" w:rsidRDefault="009E69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AB13B" w15:done="0"/>
  <w15:commentEx w15:paraId="41923D7F" w15:done="0"/>
  <w15:commentEx w15:paraId="289197A3" w15:done="0"/>
  <w15:commentEx w15:paraId="6ABFC5AD" w15:done="0"/>
  <w15:commentEx w15:paraId="75333BEF" w15:paraIdParent="6ABFC5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AB13B" w16cid:durableId="1FB0E449"/>
  <w16cid:commentId w16cid:paraId="41923D7F" w16cid:durableId="1FB0E456"/>
  <w16cid:commentId w16cid:paraId="289197A3" w16cid:durableId="1FB0E47A"/>
  <w16cid:commentId w16cid:paraId="6ABFC5AD" w16cid:durableId="1F2515F6"/>
  <w16cid:commentId w16cid:paraId="75333BEF" w16cid:durableId="1FABC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41E24" w14:textId="77777777" w:rsidR="009232D9" w:rsidRDefault="009232D9" w:rsidP="00117666">
      <w:pPr>
        <w:spacing w:after="0"/>
      </w:pPr>
      <w:r>
        <w:separator/>
      </w:r>
    </w:p>
  </w:endnote>
  <w:endnote w:type="continuationSeparator" w:id="0">
    <w:p w14:paraId="3EFAD9A0" w14:textId="77777777" w:rsidR="009232D9" w:rsidRDefault="009232D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9E690A" w:rsidRPr="00577C4C" w:rsidRDefault="009E690A">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9E690A" w:rsidRPr="00577C4C" w:rsidRDefault="009E690A">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A39EB" w14:textId="77777777" w:rsidR="009232D9" w:rsidRDefault="009232D9" w:rsidP="00117666">
      <w:pPr>
        <w:spacing w:after="0"/>
      </w:pPr>
      <w:r>
        <w:separator/>
      </w:r>
    </w:p>
  </w:footnote>
  <w:footnote w:type="continuationSeparator" w:id="0">
    <w:p w14:paraId="1CB3E0A9" w14:textId="77777777" w:rsidR="009232D9" w:rsidRDefault="009232D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9E690A" w:rsidRPr="007E3148" w:rsidRDefault="009E690A"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9E690A" w:rsidRPr="00A849B0" w:rsidRDefault="009E690A"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9E690A" w:rsidRDefault="009E690A"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rson w15:author="Marta Gomez-Chiarri">
    <w15:presenceInfo w15:providerId="None" w15:userId="Marta Gomez-Chiar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2012"/>
    <w:rsid w:val="00015F54"/>
    <w:rsid w:val="000163DD"/>
    <w:rsid w:val="00017B6E"/>
    <w:rsid w:val="0002018A"/>
    <w:rsid w:val="00021B3E"/>
    <w:rsid w:val="00022D41"/>
    <w:rsid w:val="000259A6"/>
    <w:rsid w:val="00026D10"/>
    <w:rsid w:val="0003008B"/>
    <w:rsid w:val="00030625"/>
    <w:rsid w:val="00031091"/>
    <w:rsid w:val="00034304"/>
    <w:rsid w:val="0003441F"/>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09F1"/>
    <w:rsid w:val="000628D5"/>
    <w:rsid w:val="00062DA6"/>
    <w:rsid w:val="00063D84"/>
    <w:rsid w:val="00064AD7"/>
    <w:rsid w:val="0006600D"/>
    <w:rsid w:val="0006636D"/>
    <w:rsid w:val="000664EA"/>
    <w:rsid w:val="0006784C"/>
    <w:rsid w:val="0007021A"/>
    <w:rsid w:val="000724E5"/>
    <w:rsid w:val="00072CD2"/>
    <w:rsid w:val="0007306D"/>
    <w:rsid w:val="00075E17"/>
    <w:rsid w:val="00077D53"/>
    <w:rsid w:val="00077F78"/>
    <w:rsid w:val="00081394"/>
    <w:rsid w:val="00082106"/>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2247"/>
    <w:rsid w:val="000B34BD"/>
    <w:rsid w:val="000B435B"/>
    <w:rsid w:val="000B6772"/>
    <w:rsid w:val="000C1F38"/>
    <w:rsid w:val="000C415A"/>
    <w:rsid w:val="000C4FFA"/>
    <w:rsid w:val="000C7E2A"/>
    <w:rsid w:val="000D0CEE"/>
    <w:rsid w:val="000D4827"/>
    <w:rsid w:val="000D4D99"/>
    <w:rsid w:val="000D585E"/>
    <w:rsid w:val="000D633A"/>
    <w:rsid w:val="000D6B50"/>
    <w:rsid w:val="000D73C1"/>
    <w:rsid w:val="000E0D39"/>
    <w:rsid w:val="000E1A35"/>
    <w:rsid w:val="000E2F3B"/>
    <w:rsid w:val="000E2FA7"/>
    <w:rsid w:val="000E5402"/>
    <w:rsid w:val="000E7BC8"/>
    <w:rsid w:val="000F10C3"/>
    <w:rsid w:val="000F4CFB"/>
    <w:rsid w:val="000F5347"/>
    <w:rsid w:val="000F59FF"/>
    <w:rsid w:val="000F5C44"/>
    <w:rsid w:val="000F60AA"/>
    <w:rsid w:val="000F6BA3"/>
    <w:rsid w:val="000F778B"/>
    <w:rsid w:val="000F78EE"/>
    <w:rsid w:val="000F7EEE"/>
    <w:rsid w:val="000F7F06"/>
    <w:rsid w:val="00101703"/>
    <w:rsid w:val="00102A06"/>
    <w:rsid w:val="00111D7E"/>
    <w:rsid w:val="00111ED0"/>
    <w:rsid w:val="00117666"/>
    <w:rsid w:val="00120487"/>
    <w:rsid w:val="00120B5A"/>
    <w:rsid w:val="0012239F"/>
    <w:rsid w:val="001223A7"/>
    <w:rsid w:val="00123348"/>
    <w:rsid w:val="00125A34"/>
    <w:rsid w:val="00130DB8"/>
    <w:rsid w:val="0013116A"/>
    <w:rsid w:val="00133435"/>
    <w:rsid w:val="00134256"/>
    <w:rsid w:val="001358F8"/>
    <w:rsid w:val="00141DFC"/>
    <w:rsid w:val="001444D0"/>
    <w:rsid w:val="00144BD2"/>
    <w:rsid w:val="00145911"/>
    <w:rsid w:val="00147395"/>
    <w:rsid w:val="0015035B"/>
    <w:rsid w:val="00151C0A"/>
    <w:rsid w:val="00151F40"/>
    <w:rsid w:val="001525F4"/>
    <w:rsid w:val="001535C8"/>
    <w:rsid w:val="00154B6A"/>
    <w:rsid w:val="001552C9"/>
    <w:rsid w:val="001559CB"/>
    <w:rsid w:val="00162D70"/>
    <w:rsid w:val="00163026"/>
    <w:rsid w:val="001630B7"/>
    <w:rsid w:val="00163789"/>
    <w:rsid w:val="001645A3"/>
    <w:rsid w:val="00164D16"/>
    <w:rsid w:val="001669B8"/>
    <w:rsid w:val="00171FE8"/>
    <w:rsid w:val="001738CB"/>
    <w:rsid w:val="00174B53"/>
    <w:rsid w:val="00176B3E"/>
    <w:rsid w:val="00177D84"/>
    <w:rsid w:val="00181346"/>
    <w:rsid w:val="001833D1"/>
    <w:rsid w:val="0018444C"/>
    <w:rsid w:val="00187EA7"/>
    <w:rsid w:val="00192443"/>
    <w:rsid w:val="00192704"/>
    <w:rsid w:val="0019552A"/>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2E6E"/>
    <w:rsid w:val="00243241"/>
    <w:rsid w:val="002500BF"/>
    <w:rsid w:val="00250C99"/>
    <w:rsid w:val="00251AFE"/>
    <w:rsid w:val="00251F63"/>
    <w:rsid w:val="00252332"/>
    <w:rsid w:val="00252371"/>
    <w:rsid w:val="00254EDF"/>
    <w:rsid w:val="00261D69"/>
    <w:rsid w:val="00261E92"/>
    <w:rsid w:val="0026252E"/>
    <w:rsid w:val="002629A3"/>
    <w:rsid w:val="00263E62"/>
    <w:rsid w:val="00264882"/>
    <w:rsid w:val="00265660"/>
    <w:rsid w:val="002673CC"/>
    <w:rsid w:val="00267D18"/>
    <w:rsid w:val="002703D8"/>
    <w:rsid w:val="0027083A"/>
    <w:rsid w:val="00270C49"/>
    <w:rsid w:val="002715A0"/>
    <w:rsid w:val="002767E5"/>
    <w:rsid w:val="00276F7D"/>
    <w:rsid w:val="00277EDD"/>
    <w:rsid w:val="00283096"/>
    <w:rsid w:val="0028502E"/>
    <w:rsid w:val="00285C9E"/>
    <w:rsid w:val="002868E2"/>
    <w:rsid w:val="002869C3"/>
    <w:rsid w:val="00292114"/>
    <w:rsid w:val="00292F18"/>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38E2"/>
    <w:rsid w:val="002C5975"/>
    <w:rsid w:val="002C7377"/>
    <w:rsid w:val="002C74CA"/>
    <w:rsid w:val="002D309F"/>
    <w:rsid w:val="002D4C21"/>
    <w:rsid w:val="002D5442"/>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1B46"/>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129E"/>
    <w:rsid w:val="003F2750"/>
    <w:rsid w:val="003F488D"/>
    <w:rsid w:val="003F5AF8"/>
    <w:rsid w:val="003F7D39"/>
    <w:rsid w:val="00400A41"/>
    <w:rsid w:val="00401590"/>
    <w:rsid w:val="00402902"/>
    <w:rsid w:val="004077BF"/>
    <w:rsid w:val="00407B85"/>
    <w:rsid w:val="00410DE0"/>
    <w:rsid w:val="0041121E"/>
    <w:rsid w:val="004112BF"/>
    <w:rsid w:val="00413ECB"/>
    <w:rsid w:val="00415203"/>
    <w:rsid w:val="00416102"/>
    <w:rsid w:val="00416F8B"/>
    <w:rsid w:val="00417134"/>
    <w:rsid w:val="004209C4"/>
    <w:rsid w:val="00420C1F"/>
    <w:rsid w:val="00425787"/>
    <w:rsid w:val="004270AA"/>
    <w:rsid w:val="004270D3"/>
    <w:rsid w:val="00427495"/>
    <w:rsid w:val="00427B70"/>
    <w:rsid w:val="0043007B"/>
    <w:rsid w:val="00431F64"/>
    <w:rsid w:val="00433937"/>
    <w:rsid w:val="00433D58"/>
    <w:rsid w:val="00433D6C"/>
    <w:rsid w:val="00434AD1"/>
    <w:rsid w:val="00434B54"/>
    <w:rsid w:val="00436100"/>
    <w:rsid w:val="00442DE9"/>
    <w:rsid w:val="0044450D"/>
    <w:rsid w:val="004454A0"/>
    <w:rsid w:val="00445525"/>
    <w:rsid w:val="00447BBA"/>
    <w:rsid w:val="00451725"/>
    <w:rsid w:val="00451A8B"/>
    <w:rsid w:val="00451E26"/>
    <w:rsid w:val="0045339E"/>
    <w:rsid w:val="00454AEA"/>
    <w:rsid w:val="00454E13"/>
    <w:rsid w:val="00456C39"/>
    <w:rsid w:val="00456CBE"/>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355"/>
    <w:rsid w:val="00491748"/>
    <w:rsid w:val="00492334"/>
    <w:rsid w:val="00492644"/>
    <w:rsid w:val="00492CA9"/>
    <w:rsid w:val="00495408"/>
    <w:rsid w:val="004A02FD"/>
    <w:rsid w:val="004A0649"/>
    <w:rsid w:val="004A0D42"/>
    <w:rsid w:val="004A16B4"/>
    <w:rsid w:val="004A1BF2"/>
    <w:rsid w:val="004A2B6D"/>
    <w:rsid w:val="004A53FC"/>
    <w:rsid w:val="004A6B35"/>
    <w:rsid w:val="004B198F"/>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E84"/>
    <w:rsid w:val="004E51BD"/>
    <w:rsid w:val="004E749C"/>
    <w:rsid w:val="004E7D4E"/>
    <w:rsid w:val="004F009A"/>
    <w:rsid w:val="004F206E"/>
    <w:rsid w:val="004F777F"/>
    <w:rsid w:val="004F796D"/>
    <w:rsid w:val="005023BF"/>
    <w:rsid w:val="0050303F"/>
    <w:rsid w:val="00503795"/>
    <w:rsid w:val="00503C11"/>
    <w:rsid w:val="0050466A"/>
    <w:rsid w:val="0050765F"/>
    <w:rsid w:val="00507DBC"/>
    <w:rsid w:val="00512B15"/>
    <w:rsid w:val="00513CF6"/>
    <w:rsid w:val="0051440C"/>
    <w:rsid w:val="005151BE"/>
    <w:rsid w:val="00522478"/>
    <w:rsid w:val="0052342D"/>
    <w:rsid w:val="005250F2"/>
    <w:rsid w:val="00525E94"/>
    <w:rsid w:val="00526FB4"/>
    <w:rsid w:val="005276CA"/>
    <w:rsid w:val="00530C47"/>
    <w:rsid w:val="005331B9"/>
    <w:rsid w:val="00533D5E"/>
    <w:rsid w:val="00533FED"/>
    <w:rsid w:val="00534801"/>
    <w:rsid w:val="0053671E"/>
    <w:rsid w:val="00537061"/>
    <w:rsid w:val="00541624"/>
    <w:rsid w:val="005421AE"/>
    <w:rsid w:val="005428AA"/>
    <w:rsid w:val="005433E4"/>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711"/>
    <w:rsid w:val="00564DFE"/>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B78CC"/>
    <w:rsid w:val="005C0C74"/>
    <w:rsid w:val="005C29B0"/>
    <w:rsid w:val="005C34A2"/>
    <w:rsid w:val="005C3963"/>
    <w:rsid w:val="005C5232"/>
    <w:rsid w:val="005C7C0C"/>
    <w:rsid w:val="005D00C0"/>
    <w:rsid w:val="005D1840"/>
    <w:rsid w:val="005D1C91"/>
    <w:rsid w:val="005D1CDB"/>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0450F"/>
    <w:rsid w:val="0061055B"/>
    <w:rsid w:val="00611015"/>
    <w:rsid w:val="00611873"/>
    <w:rsid w:val="00613512"/>
    <w:rsid w:val="006149B5"/>
    <w:rsid w:val="006151EA"/>
    <w:rsid w:val="00616D5D"/>
    <w:rsid w:val="0062154F"/>
    <w:rsid w:val="00622D90"/>
    <w:rsid w:val="0062428A"/>
    <w:rsid w:val="00626153"/>
    <w:rsid w:val="00626B52"/>
    <w:rsid w:val="0063026B"/>
    <w:rsid w:val="00631A8C"/>
    <w:rsid w:val="006345BD"/>
    <w:rsid w:val="0064111E"/>
    <w:rsid w:val="00651CA2"/>
    <w:rsid w:val="00653D60"/>
    <w:rsid w:val="0065423A"/>
    <w:rsid w:val="00656854"/>
    <w:rsid w:val="00660D05"/>
    <w:rsid w:val="00662439"/>
    <w:rsid w:val="00666A83"/>
    <w:rsid w:val="00671D9A"/>
    <w:rsid w:val="0067307E"/>
    <w:rsid w:val="00673952"/>
    <w:rsid w:val="00674FBA"/>
    <w:rsid w:val="006811C1"/>
    <w:rsid w:val="00681D93"/>
    <w:rsid w:val="006834F2"/>
    <w:rsid w:val="006842D8"/>
    <w:rsid w:val="00684303"/>
    <w:rsid w:val="00686B93"/>
    <w:rsid w:val="00686C9D"/>
    <w:rsid w:val="00690F89"/>
    <w:rsid w:val="0069383C"/>
    <w:rsid w:val="00694D2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E6EF3"/>
    <w:rsid w:val="006F317A"/>
    <w:rsid w:val="007003AE"/>
    <w:rsid w:val="0070167C"/>
    <w:rsid w:val="0070477B"/>
    <w:rsid w:val="00713B39"/>
    <w:rsid w:val="00715183"/>
    <w:rsid w:val="007166B2"/>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0EED"/>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204E"/>
    <w:rsid w:val="007B3B98"/>
    <w:rsid w:val="007B3F58"/>
    <w:rsid w:val="007B4A5C"/>
    <w:rsid w:val="007B4B4A"/>
    <w:rsid w:val="007B4F1D"/>
    <w:rsid w:val="007C079B"/>
    <w:rsid w:val="007C0E3F"/>
    <w:rsid w:val="007C182E"/>
    <w:rsid w:val="007C206C"/>
    <w:rsid w:val="007C254F"/>
    <w:rsid w:val="007C4AA9"/>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21A1"/>
    <w:rsid w:val="008432A2"/>
    <w:rsid w:val="00843904"/>
    <w:rsid w:val="0084639F"/>
    <w:rsid w:val="00850077"/>
    <w:rsid w:val="00850572"/>
    <w:rsid w:val="00850AA9"/>
    <w:rsid w:val="008536BA"/>
    <w:rsid w:val="0085658A"/>
    <w:rsid w:val="0086223A"/>
    <w:rsid w:val="008629A9"/>
    <w:rsid w:val="0086579B"/>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A6C65"/>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31C"/>
    <w:rsid w:val="008E0862"/>
    <w:rsid w:val="008E2ACB"/>
    <w:rsid w:val="008E2B54"/>
    <w:rsid w:val="008E4404"/>
    <w:rsid w:val="008E49A4"/>
    <w:rsid w:val="008E58C7"/>
    <w:rsid w:val="008E5905"/>
    <w:rsid w:val="008E5A9E"/>
    <w:rsid w:val="008E6099"/>
    <w:rsid w:val="008F00C0"/>
    <w:rsid w:val="008F1024"/>
    <w:rsid w:val="008F10EE"/>
    <w:rsid w:val="008F3326"/>
    <w:rsid w:val="008F5021"/>
    <w:rsid w:val="008F57C2"/>
    <w:rsid w:val="00902313"/>
    <w:rsid w:val="00902A49"/>
    <w:rsid w:val="00906492"/>
    <w:rsid w:val="00907818"/>
    <w:rsid w:val="00910465"/>
    <w:rsid w:val="00911ACE"/>
    <w:rsid w:val="00916D86"/>
    <w:rsid w:val="00921E9C"/>
    <w:rsid w:val="009232D9"/>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619"/>
    <w:rsid w:val="0095283D"/>
    <w:rsid w:val="00952C86"/>
    <w:rsid w:val="009574F3"/>
    <w:rsid w:val="0095796C"/>
    <w:rsid w:val="00961945"/>
    <w:rsid w:val="00963E27"/>
    <w:rsid w:val="00966839"/>
    <w:rsid w:val="009701BD"/>
    <w:rsid w:val="00970405"/>
    <w:rsid w:val="0097082A"/>
    <w:rsid w:val="00971B61"/>
    <w:rsid w:val="0097476E"/>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90A"/>
    <w:rsid w:val="009E6FBA"/>
    <w:rsid w:val="009F1AD4"/>
    <w:rsid w:val="009F2BED"/>
    <w:rsid w:val="009F3069"/>
    <w:rsid w:val="009F3692"/>
    <w:rsid w:val="009F5D2A"/>
    <w:rsid w:val="00A01D82"/>
    <w:rsid w:val="00A039B7"/>
    <w:rsid w:val="00A073D0"/>
    <w:rsid w:val="00A23E33"/>
    <w:rsid w:val="00A24F45"/>
    <w:rsid w:val="00A27638"/>
    <w:rsid w:val="00A278F0"/>
    <w:rsid w:val="00A315DB"/>
    <w:rsid w:val="00A3318A"/>
    <w:rsid w:val="00A34352"/>
    <w:rsid w:val="00A348D3"/>
    <w:rsid w:val="00A3711A"/>
    <w:rsid w:val="00A3775C"/>
    <w:rsid w:val="00A37FD7"/>
    <w:rsid w:val="00A41CCC"/>
    <w:rsid w:val="00A43F1F"/>
    <w:rsid w:val="00A46525"/>
    <w:rsid w:val="00A47589"/>
    <w:rsid w:val="00A50060"/>
    <w:rsid w:val="00A50D9D"/>
    <w:rsid w:val="00A53000"/>
    <w:rsid w:val="00A545C6"/>
    <w:rsid w:val="00A553A0"/>
    <w:rsid w:val="00A56852"/>
    <w:rsid w:val="00A5799B"/>
    <w:rsid w:val="00A609A7"/>
    <w:rsid w:val="00A65668"/>
    <w:rsid w:val="00A65BA5"/>
    <w:rsid w:val="00A668F6"/>
    <w:rsid w:val="00A711D7"/>
    <w:rsid w:val="00A71506"/>
    <w:rsid w:val="00A718FD"/>
    <w:rsid w:val="00A73D61"/>
    <w:rsid w:val="00A75F87"/>
    <w:rsid w:val="00A778FD"/>
    <w:rsid w:val="00A8046B"/>
    <w:rsid w:val="00A81F16"/>
    <w:rsid w:val="00A83407"/>
    <w:rsid w:val="00A84585"/>
    <w:rsid w:val="00A849B0"/>
    <w:rsid w:val="00A9084C"/>
    <w:rsid w:val="00A915B8"/>
    <w:rsid w:val="00A9230E"/>
    <w:rsid w:val="00A94ECD"/>
    <w:rsid w:val="00A95639"/>
    <w:rsid w:val="00A95D8B"/>
    <w:rsid w:val="00A95DC3"/>
    <w:rsid w:val="00A971E3"/>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985"/>
    <w:rsid w:val="00AE6F94"/>
    <w:rsid w:val="00AE6FD9"/>
    <w:rsid w:val="00AF58FD"/>
    <w:rsid w:val="00AF627F"/>
    <w:rsid w:val="00B00012"/>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1926"/>
    <w:rsid w:val="00B31E2F"/>
    <w:rsid w:val="00B32889"/>
    <w:rsid w:val="00B40FC7"/>
    <w:rsid w:val="00B45B43"/>
    <w:rsid w:val="00B47138"/>
    <w:rsid w:val="00B52D21"/>
    <w:rsid w:val="00B5460E"/>
    <w:rsid w:val="00B54621"/>
    <w:rsid w:val="00B57862"/>
    <w:rsid w:val="00B600A4"/>
    <w:rsid w:val="00B632D9"/>
    <w:rsid w:val="00B64791"/>
    <w:rsid w:val="00B657B8"/>
    <w:rsid w:val="00B70CBC"/>
    <w:rsid w:val="00B70EA9"/>
    <w:rsid w:val="00B718BD"/>
    <w:rsid w:val="00B7331C"/>
    <w:rsid w:val="00B73F4D"/>
    <w:rsid w:val="00B75218"/>
    <w:rsid w:val="00B75F9F"/>
    <w:rsid w:val="00B76610"/>
    <w:rsid w:val="00B76869"/>
    <w:rsid w:val="00B80025"/>
    <w:rsid w:val="00B803E4"/>
    <w:rsid w:val="00B811DE"/>
    <w:rsid w:val="00B81A43"/>
    <w:rsid w:val="00B84920"/>
    <w:rsid w:val="00B84CB4"/>
    <w:rsid w:val="00B8556A"/>
    <w:rsid w:val="00B86128"/>
    <w:rsid w:val="00B87E30"/>
    <w:rsid w:val="00B94E8E"/>
    <w:rsid w:val="00B9562A"/>
    <w:rsid w:val="00BA185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E7C63"/>
    <w:rsid w:val="00BF1E7C"/>
    <w:rsid w:val="00BF1F4D"/>
    <w:rsid w:val="00BF3F0D"/>
    <w:rsid w:val="00BF57B9"/>
    <w:rsid w:val="00BF59BD"/>
    <w:rsid w:val="00BF612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2299"/>
    <w:rsid w:val="00C4480A"/>
    <w:rsid w:val="00C50D9F"/>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5824"/>
    <w:rsid w:val="00C86A71"/>
    <w:rsid w:val="00C87184"/>
    <w:rsid w:val="00C87CA6"/>
    <w:rsid w:val="00C914D4"/>
    <w:rsid w:val="00C91509"/>
    <w:rsid w:val="00C92803"/>
    <w:rsid w:val="00C930F6"/>
    <w:rsid w:val="00C948FD"/>
    <w:rsid w:val="00C95480"/>
    <w:rsid w:val="00CA069D"/>
    <w:rsid w:val="00CA3231"/>
    <w:rsid w:val="00CA4C23"/>
    <w:rsid w:val="00CA6016"/>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760"/>
    <w:rsid w:val="00D32FB0"/>
    <w:rsid w:val="00D33D2B"/>
    <w:rsid w:val="00D353A6"/>
    <w:rsid w:val="00D3698F"/>
    <w:rsid w:val="00D375FF"/>
    <w:rsid w:val="00D4024E"/>
    <w:rsid w:val="00D45514"/>
    <w:rsid w:val="00D537FA"/>
    <w:rsid w:val="00D54E84"/>
    <w:rsid w:val="00D567A1"/>
    <w:rsid w:val="00D5765C"/>
    <w:rsid w:val="00D60EF7"/>
    <w:rsid w:val="00D61475"/>
    <w:rsid w:val="00D62467"/>
    <w:rsid w:val="00D65281"/>
    <w:rsid w:val="00D6630B"/>
    <w:rsid w:val="00D70C68"/>
    <w:rsid w:val="00D721C9"/>
    <w:rsid w:val="00D74104"/>
    <w:rsid w:val="00D765ED"/>
    <w:rsid w:val="00D76E1D"/>
    <w:rsid w:val="00D80C2A"/>
    <w:rsid w:val="00D80D99"/>
    <w:rsid w:val="00D820F1"/>
    <w:rsid w:val="00D82CD8"/>
    <w:rsid w:val="00D84FAF"/>
    <w:rsid w:val="00D90BED"/>
    <w:rsid w:val="00D91CEB"/>
    <w:rsid w:val="00D93003"/>
    <w:rsid w:val="00D9503C"/>
    <w:rsid w:val="00D961A8"/>
    <w:rsid w:val="00D96D62"/>
    <w:rsid w:val="00D9762E"/>
    <w:rsid w:val="00D97636"/>
    <w:rsid w:val="00D979F4"/>
    <w:rsid w:val="00D97F2D"/>
    <w:rsid w:val="00DA1DA4"/>
    <w:rsid w:val="00DA5CEF"/>
    <w:rsid w:val="00DA6A9E"/>
    <w:rsid w:val="00DB261C"/>
    <w:rsid w:val="00DB4837"/>
    <w:rsid w:val="00DB6C38"/>
    <w:rsid w:val="00DB75DD"/>
    <w:rsid w:val="00DB764F"/>
    <w:rsid w:val="00DC26E8"/>
    <w:rsid w:val="00DC289B"/>
    <w:rsid w:val="00DC367D"/>
    <w:rsid w:val="00DC62FA"/>
    <w:rsid w:val="00DC74A9"/>
    <w:rsid w:val="00DD2DDA"/>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3D0"/>
    <w:rsid w:val="00E0494E"/>
    <w:rsid w:val="00E11C9F"/>
    <w:rsid w:val="00E13122"/>
    <w:rsid w:val="00E136D3"/>
    <w:rsid w:val="00E13FA7"/>
    <w:rsid w:val="00E14ED5"/>
    <w:rsid w:val="00E1574B"/>
    <w:rsid w:val="00E20832"/>
    <w:rsid w:val="00E217FE"/>
    <w:rsid w:val="00E21867"/>
    <w:rsid w:val="00E21F25"/>
    <w:rsid w:val="00E24149"/>
    <w:rsid w:val="00E32A12"/>
    <w:rsid w:val="00E360CC"/>
    <w:rsid w:val="00E37F3C"/>
    <w:rsid w:val="00E40542"/>
    <w:rsid w:val="00E42655"/>
    <w:rsid w:val="00E44EBD"/>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3B9F"/>
    <w:rsid w:val="00E84072"/>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46A7"/>
    <w:rsid w:val="00EB56DD"/>
    <w:rsid w:val="00EC2FA8"/>
    <w:rsid w:val="00EC402D"/>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3BC7"/>
    <w:rsid w:val="00F04FB9"/>
    <w:rsid w:val="00F05E88"/>
    <w:rsid w:val="00F0685F"/>
    <w:rsid w:val="00F13AEA"/>
    <w:rsid w:val="00F20A61"/>
    <w:rsid w:val="00F20B9C"/>
    <w:rsid w:val="00F24D9E"/>
    <w:rsid w:val="00F259E5"/>
    <w:rsid w:val="00F25B55"/>
    <w:rsid w:val="00F305C6"/>
    <w:rsid w:val="00F3103A"/>
    <w:rsid w:val="00F32FAE"/>
    <w:rsid w:val="00F46494"/>
    <w:rsid w:val="00F47736"/>
    <w:rsid w:val="00F5374A"/>
    <w:rsid w:val="00F558AB"/>
    <w:rsid w:val="00F55D63"/>
    <w:rsid w:val="00F6173F"/>
    <w:rsid w:val="00F61D89"/>
    <w:rsid w:val="00F673CD"/>
    <w:rsid w:val="00F70975"/>
    <w:rsid w:val="00F75C38"/>
    <w:rsid w:val="00F76819"/>
    <w:rsid w:val="00F77E49"/>
    <w:rsid w:val="00F81D6E"/>
    <w:rsid w:val="00F82FFA"/>
    <w:rsid w:val="00F84351"/>
    <w:rsid w:val="00F8534C"/>
    <w:rsid w:val="00F86ABB"/>
    <w:rsid w:val="00F97DE6"/>
    <w:rsid w:val="00F97F79"/>
    <w:rsid w:val="00FA778F"/>
    <w:rsid w:val="00FB0CE2"/>
    <w:rsid w:val="00FB2ABE"/>
    <w:rsid w:val="00FB357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2FA3"/>
    <w:rsid w:val="00FE43D5"/>
    <w:rsid w:val="00FE5526"/>
    <w:rsid w:val="00FE58AB"/>
    <w:rsid w:val="00FE63B2"/>
    <w:rsid w:val="00FE701C"/>
    <w:rsid w:val="00FE759E"/>
    <w:rsid w:val="00FE7A6D"/>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AB866"/>
  <w15:docId w15:val="{1E7DBD91-60B8-4ED2-8119-54412784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C68055-56CC-4E48-80CB-47EE315A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45037</Words>
  <Characters>255816</Characters>
  <Application>Microsoft Office Word</Application>
  <DocSecurity>0</DocSecurity>
  <Lines>3553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48</cp:revision>
  <cp:lastPrinted>2018-04-12T18:07:00Z</cp:lastPrinted>
  <dcterms:created xsi:type="dcterms:W3CDTF">2018-11-30T18:54:00Z</dcterms:created>
  <dcterms:modified xsi:type="dcterms:W3CDTF">2018-12-04T16:33:00Z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