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76A22">
      <w:pPr>
        <w:spacing w:before="312" w:beforeLines="100" w:after="312" w:afterLines="100"/>
        <w:jc w:val="center"/>
        <w:rPr>
          <w:rFonts w:hint="eastAsia" w:asciiTheme="minorEastAsia" w:hAnsiTheme="minorEastAsia" w:eastAsiaTheme="minorEastAsia" w:cstheme="minorEastAsia"/>
          <w:b/>
          <w:bCs/>
          <w:color w:val="auto"/>
          <w:sz w:val="52"/>
          <w:szCs w:val="52"/>
          <w:highlight w:val="none"/>
        </w:rPr>
      </w:pPr>
      <w:r>
        <w:rPr>
          <w:rFonts w:hint="eastAsia" w:asciiTheme="minorEastAsia" w:hAnsiTheme="minorEastAsia" w:eastAsiaTheme="minorEastAsia" w:cstheme="minorEastAsia"/>
          <w:b/>
          <w:bCs/>
          <w:color w:val="auto"/>
          <w:sz w:val="52"/>
          <w:szCs w:val="52"/>
          <w:highlight w:val="none"/>
        </w:rPr>
        <w:t>销售合同</w:t>
      </w:r>
    </w:p>
    <w:p w14:paraId="1172C3F7">
      <w:pPr>
        <w:keepNext w:val="0"/>
        <w:keepLines w:val="0"/>
        <w:pageBreakBefore w:val="0"/>
        <w:widowControl w:val="0"/>
        <w:kinsoku/>
        <w:wordWrap/>
        <w:overflowPunct/>
        <w:topLinePunct w:val="0"/>
        <w:autoSpaceDE/>
        <w:autoSpaceDN/>
        <w:bidi w:val="0"/>
        <w:adjustRightInd/>
        <w:snapToGrid/>
        <w:spacing w:before="156" w:beforeLines="50" w:after="156" w:afterLines="50"/>
        <w:ind w:right="0"/>
        <w:jc w:val="right"/>
        <w:textAlignment w:val="auto"/>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合同编号：</w:t>
      </w:r>
      <w:permStart w:id="0" w:edGrp="everyone"/>
      <w:r>
        <w:rPr>
          <w:rFonts w:hint="eastAsia"/>
          <w:color w:val="auto"/>
          <w:highlight w:val="none"/>
        </w:rPr>
        <w:t xml:space="preserve"> BMSH-20250</w:t>
      </w:r>
      <w:r>
        <w:rPr>
          <w:rFonts w:hint="eastAsia"/>
          <w:color w:val="auto"/>
          <w:highlight w:val="none"/>
          <w:lang w:val="en-US" w:eastAsia="zh-CN"/>
        </w:rPr>
        <w:t>822</w:t>
      </w:r>
      <w:r>
        <w:rPr>
          <w:rFonts w:hint="eastAsia"/>
          <w:color w:val="auto"/>
          <w:highlight w:val="none"/>
        </w:rPr>
        <w:t>000</w:t>
      </w:r>
      <w:r>
        <w:rPr>
          <w:rFonts w:hint="eastAsia"/>
          <w:color w:val="auto"/>
          <w:highlight w:val="none"/>
          <w:lang w:val="en-US" w:eastAsia="zh-CN"/>
        </w:rPr>
        <w:t>1</w:t>
      </w:r>
      <w:r>
        <w:rPr>
          <w:rFonts w:hint="eastAsia"/>
          <w:color w:val="auto"/>
          <w:highlight w:val="none"/>
        </w:rPr>
        <w:t xml:space="preserve"> </w:t>
      </w:r>
      <w:permEnd w:id="0"/>
    </w:p>
    <w:p w14:paraId="661B9FE9">
      <w:pPr>
        <w:spacing w:before="156" w:beforeLines="50" w:after="156" w:afterLines="50" w:line="340" w:lineRule="atLeast"/>
        <w:rPr>
          <w:rFonts w:hint="eastAsia" w:asciiTheme="minorEastAsia" w:hAnsiTheme="minorEastAsia" w:eastAsiaTheme="minorEastAsia" w:cstheme="minorEastAsia"/>
          <w:szCs w:val="21"/>
          <w:highlight w:val="yellow"/>
        </w:rPr>
      </w:pPr>
      <w:permStart w:id="1" w:edGrp="everyone"/>
      <w:r>
        <w:rPr>
          <w:rFonts w:hint="eastAsia" w:asciiTheme="minorEastAsia" w:hAnsiTheme="minorEastAsia" w:eastAsiaTheme="minorEastAsia" w:cstheme="minorEastAsia"/>
          <w:szCs w:val="21"/>
          <w:highlight w:val="yellow"/>
        </w:rPr>
        <w:t>甲方（买方）</w:t>
      </w:r>
      <w:r>
        <w:rPr>
          <w:rFonts w:hint="eastAsia" w:asciiTheme="minorEastAsia" w:hAnsiTheme="minorEastAsia" w:eastAsiaTheme="minorEastAsia" w:cstheme="minorEastAsia"/>
          <w:szCs w:val="21"/>
          <w:highlight w:val="yellow"/>
          <w:lang w:eastAsia="zh-CN"/>
        </w:rPr>
        <w:t>：</w:t>
      </w:r>
      <w:r>
        <w:rPr>
          <w:rFonts w:hint="eastAsia" w:asciiTheme="minorEastAsia" w:hAnsiTheme="minorEastAsia" w:eastAsiaTheme="minorEastAsia" w:cstheme="minorEastAsia"/>
          <w:szCs w:val="21"/>
          <w:highlight w:val="yellow"/>
          <w:lang w:val="en-US" w:eastAsia="zh-CN"/>
        </w:rPr>
        <w:t>XXXX</w:t>
      </w:r>
      <w:r>
        <w:rPr>
          <w:rFonts w:hint="eastAsia" w:asciiTheme="minorEastAsia" w:hAnsiTheme="minorEastAsia" w:eastAsiaTheme="minorEastAsia" w:cstheme="minorEastAsia"/>
          <w:szCs w:val="21"/>
          <w:lang w:eastAsia="zh-CN"/>
        </w:rPr>
        <w:t>公司</w:t>
      </w:r>
      <w:r>
        <w:rPr>
          <w:rFonts w:hint="eastAsia"/>
          <w:highlight w:val="yellow"/>
          <w:lang w:val="en-US" w:eastAsia="zh-CN"/>
        </w:rPr>
        <w:t xml:space="preserve"> </w:t>
      </w:r>
      <w:r>
        <w:rPr>
          <w:rFonts w:hint="eastAsia"/>
          <w:highlight w:val="yellow"/>
        </w:rPr>
        <w:t xml:space="preserve"> </w:t>
      </w:r>
      <w:r>
        <w:rPr>
          <w:rFonts w:hint="eastAsia" w:asciiTheme="minorEastAsia" w:hAnsiTheme="minorEastAsia" w:eastAsiaTheme="minorEastAsia" w:cstheme="minorEastAsia"/>
          <w:szCs w:val="21"/>
          <w:highlight w:val="yellow"/>
        </w:rPr>
        <w:fldChar w:fldCharType="begin"/>
      </w:r>
      <w:r>
        <w:rPr>
          <w:rFonts w:hint="eastAsia" w:asciiTheme="minorEastAsia" w:hAnsiTheme="minorEastAsia" w:eastAsiaTheme="minorEastAsia" w:cstheme="minorEastAsia"/>
          <w:szCs w:val="21"/>
          <w:highlight w:val="yellow"/>
        </w:rPr>
        <w:instrText xml:space="preserve"> STYLEREF  白帽守护  \* MERGEFORMAT </w:instrText>
      </w:r>
      <w:r>
        <w:rPr>
          <w:rFonts w:hint="eastAsia" w:asciiTheme="minorEastAsia" w:hAnsiTheme="minorEastAsia" w:eastAsiaTheme="minorEastAsia" w:cstheme="minorEastAsia"/>
          <w:szCs w:val="21"/>
          <w:highlight w:val="yellow"/>
        </w:rPr>
        <w:fldChar w:fldCharType="end"/>
      </w:r>
    </w:p>
    <w:p w14:paraId="7269DE12">
      <w:pPr>
        <w:spacing w:before="156" w:beforeLines="50" w:after="156" w:afterLines="50" w:line="340" w:lineRule="atLeast"/>
        <w:rPr>
          <w:rFonts w:hint="eastAsia" w:asciiTheme="minorEastAsia" w:hAnsiTheme="minorEastAsia" w:eastAsiaTheme="minorEastAsia" w:cstheme="minorEastAsia"/>
          <w:szCs w:val="21"/>
          <w:highlight w:val="yellow"/>
        </w:rPr>
      </w:pPr>
      <w:r>
        <w:rPr>
          <w:rFonts w:hint="eastAsia" w:asciiTheme="minorEastAsia" w:hAnsiTheme="minorEastAsia" w:eastAsiaTheme="minorEastAsia" w:cstheme="minorEastAsia"/>
          <w:szCs w:val="21"/>
          <w:highlight w:val="yellow"/>
        </w:rPr>
        <w:t>地址：</w:t>
      </w:r>
      <w:r>
        <w:rPr>
          <w:rFonts w:hint="eastAsia" w:asciiTheme="minorEastAsia" w:hAnsiTheme="minorEastAsia" w:eastAsiaTheme="minorEastAsia" w:cstheme="minorEastAsia"/>
          <w:szCs w:val="21"/>
          <w:highlight w:val="yellow"/>
          <w:lang w:val="en-US" w:eastAsia="zh-CN"/>
        </w:rPr>
        <w:t>XXXX</w:t>
      </w:r>
      <w:r>
        <w:rPr>
          <w:rFonts w:hint="eastAsia" w:asciiTheme="minorEastAsia" w:hAnsiTheme="minorEastAsia" w:eastAsiaTheme="minorEastAsia" w:cstheme="minorEastAsia"/>
          <w:szCs w:val="21"/>
          <w:highlight w:val="yellow"/>
        </w:rPr>
        <w:t>一路210号D-11-8号</w:t>
      </w:r>
      <w:r>
        <w:rPr>
          <w:rFonts w:hint="eastAsia" w:eastAsiaTheme="minorEastAsia"/>
          <w:highlight w:val="yellow"/>
          <w:lang w:val="en-US" w:eastAsia="zh-CN"/>
        </w:rPr>
        <w:t xml:space="preserve"> </w:t>
      </w:r>
      <w:r>
        <w:rPr>
          <w:rFonts w:hint="eastAsia" w:asciiTheme="minorEastAsia" w:hAnsiTheme="minorEastAsia" w:eastAsiaTheme="minorEastAsia" w:cstheme="minorEastAsia"/>
          <w:szCs w:val="21"/>
          <w:highlight w:val="yellow"/>
        </w:rPr>
        <w:t xml:space="preserve"> </w:t>
      </w:r>
      <w:r>
        <w:rPr>
          <w:rFonts w:hint="eastAsia" w:asciiTheme="minorEastAsia" w:hAnsiTheme="minorEastAsia" w:eastAsiaTheme="minorEastAsia" w:cstheme="minorEastAsia"/>
          <w:szCs w:val="21"/>
          <w:highlight w:val="yellow"/>
        </w:rPr>
        <w:fldChar w:fldCharType="begin"/>
      </w:r>
      <w:r>
        <w:rPr>
          <w:rFonts w:hint="eastAsia" w:asciiTheme="minorEastAsia" w:hAnsiTheme="minorEastAsia" w:eastAsiaTheme="minorEastAsia" w:cstheme="minorEastAsia"/>
          <w:szCs w:val="21"/>
          <w:highlight w:val="yellow"/>
        </w:rPr>
        <w:instrText xml:space="preserve"> STYLEREF  白帽守护  \* MERGEFORMAT </w:instrText>
      </w:r>
      <w:r>
        <w:rPr>
          <w:rFonts w:hint="eastAsia" w:asciiTheme="minorEastAsia" w:hAnsiTheme="minorEastAsia" w:eastAsiaTheme="minorEastAsia" w:cstheme="minorEastAsia"/>
          <w:szCs w:val="21"/>
          <w:highlight w:val="yellow"/>
        </w:rPr>
        <w:fldChar w:fldCharType="end"/>
      </w:r>
    </w:p>
    <w:p w14:paraId="29E74F87">
      <w:pPr>
        <w:spacing w:before="156" w:beforeLines="50" w:after="156" w:afterLines="50" w:line="340" w:lineRule="atLeast"/>
        <w:rPr>
          <w:rFonts w:hint="default" w:eastAsiaTheme="minorEastAsia"/>
          <w:color w:val="auto"/>
          <w:highlight w:val="none"/>
          <w:lang w:val="en-US" w:eastAsia="zh-CN"/>
        </w:rPr>
      </w:pPr>
      <w:r>
        <w:rPr>
          <w:rFonts w:hint="eastAsia" w:asciiTheme="minorEastAsia" w:hAnsiTheme="minorEastAsia" w:eastAsiaTheme="minorEastAsia" w:cstheme="minorEastAsia"/>
          <w:szCs w:val="21"/>
          <w:highlight w:val="yellow"/>
        </w:rPr>
        <w:t>电话：</w:t>
      </w:r>
      <w:r>
        <w:rPr>
          <w:rFonts w:hint="eastAsia" w:asciiTheme="minorEastAsia" w:hAnsiTheme="minorEastAsia" w:eastAsiaTheme="minorEastAsia" w:cstheme="minorEastAsia"/>
          <w:szCs w:val="21"/>
          <w:highlight w:val="yellow"/>
          <w:lang w:val="en-US" w:eastAsia="zh-CN"/>
        </w:rPr>
        <w:t xml:space="preserve"> </w:t>
      </w:r>
    </w:p>
    <w:permEnd w:id="1"/>
    <w:p w14:paraId="19761E6B">
      <w:pPr>
        <w:spacing w:before="156" w:beforeLines="50" w:after="156" w:afterLines="50" w:line="340" w:lineRule="atLeast"/>
        <w:rPr>
          <w:rFonts w:hint="eastAsia" w:asciiTheme="minorEastAsia" w:hAnsiTheme="minorEastAsia" w:eastAsiaTheme="minorEastAsia" w:cstheme="minorEastAsia"/>
          <w:color w:val="auto"/>
          <w:szCs w:val="21"/>
          <w:highlight w:val="none"/>
        </w:rPr>
      </w:pPr>
    </w:p>
    <w:p w14:paraId="389D3FD7">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乙方（卖方）：深圳白帽守护科技有限公司</w:t>
      </w:r>
    </w:p>
    <w:p w14:paraId="0BE76A2B">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地址：深圳市前海深港合作区南山街道自贸西街151号招商局前海经贸中心一期401-B11G</w:t>
      </w:r>
    </w:p>
    <w:p w14:paraId="50389542">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电话：18626468636</w:t>
      </w:r>
    </w:p>
    <w:p w14:paraId="0BE76A36">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总则</w:t>
      </w:r>
    </w:p>
    <w:p w14:paraId="3EE2557F">
      <w:pPr>
        <w:pStyle w:val="2"/>
        <w:spacing w:before="156" w:beforeLines="50" w:after="156" w:afterLines="50" w:line="340" w:lineRule="atLeast"/>
        <w:ind w:left="210" w:leftChars="100" w:firstLine="42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根据《中华人民共和国民法典》及相关法律、法规之规定,在平等互利、诚实守信、共同发展的基础上，甲乙双方经友好协商，就甲方向乙方采购本合同中所列系列产品的相关事宜于深圳市南山区签署本合同，以兹共同遵守。</w:t>
      </w:r>
    </w:p>
    <w:p w14:paraId="0BE76A38">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合同标的</w:t>
      </w:r>
    </w:p>
    <w:p w14:paraId="2029A6AF">
      <w:pPr>
        <w:spacing w:before="156" w:beforeLines="50" w:after="156" w:afterLines="50" w:line="340" w:lineRule="atLeast"/>
        <w:ind w:firstLine="420"/>
        <w:rPr>
          <w:rFonts w:hint="default" w:asciiTheme="minorEastAsia" w:hAnsiTheme="minorEastAsia" w:eastAsiaTheme="minorEastAsia" w:cstheme="minorEastAsia"/>
          <w:b/>
          <w:szCs w:val="21"/>
          <w:lang w:val="en-US" w:eastAsia="zh-CN"/>
        </w:rPr>
      </w:pPr>
      <w:r>
        <w:rPr>
          <w:rFonts w:hint="eastAsia" w:asciiTheme="minorEastAsia" w:hAnsiTheme="minorEastAsia" w:eastAsiaTheme="minorEastAsia" w:cstheme="minorEastAsia"/>
          <w:szCs w:val="21"/>
        </w:rPr>
        <w:t>甲方同意从乙方购买、乙方同意向甲方提供下表所列产品</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向最终用户</w:t>
      </w:r>
      <w:r>
        <w:rPr>
          <w:rFonts w:hint="eastAsia" w:asciiTheme="minorEastAsia" w:hAnsiTheme="minorEastAsia" w:eastAsiaTheme="minorEastAsia" w:cstheme="minorEastAsia"/>
          <w:color w:val="FF0000"/>
          <w:szCs w:val="21"/>
          <w:highlight w:val="yellow"/>
          <w:lang w:val="en-US" w:eastAsia="zh-CN"/>
        </w:rPr>
        <w:t>XXXX有限公司</w:t>
      </w:r>
      <w:r>
        <w:rPr>
          <w:rFonts w:hint="eastAsia" w:asciiTheme="minorEastAsia" w:hAnsiTheme="minorEastAsia" w:eastAsiaTheme="minorEastAsia" w:cstheme="minorEastAsia"/>
          <w:szCs w:val="21"/>
          <w:lang w:val="en-US" w:eastAsia="zh-CN"/>
        </w:rPr>
        <w:t>提供服务。</w:t>
      </w:r>
    </w:p>
    <w:tbl>
      <w:tblPr>
        <w:tblStyle w:val="5"/>
        <w:tblW w:w="8554"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927"/>
        <w:gridCol w:w="4400"/>
        <w:gridCol w:w="680"/>
        <w:gridCol w:w="870"/>
        <w:gridCol w:w="1009"/>
      </w:tblGrid>
      <w:tr w14:paraId="338A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668" w:type="dxa"/>
            <w:shd w:val="clear" w:color="auto" w:fill="99CCFF"/>
            <w:vAlign w:val="center"/>
          </w:tcPr>
          <w:p w14:paraId="09E44AA8">
            <w:pPr>
              <w:spacing w:line="340" w:lineRule="atLeast"/>
              <w:jc w:val="center"/>
              <w:rPr>
                <w:rStyle w:val="7"/>
                <w:rFonts w:hint="eastAsia" w:asciiTheme="minorEastAsia" w:hAnsiTheme="minorEastAsia" w:eastAsiaTheme="minorEastAsia" w:cstheme="minorEastAsia"/>
                <w:b/>
                <w:bCs/>
                <w:sz w:val="15"/>
                <w:szCs w:val="15"/>
                <w:highlight w:val="yellow"/>
              </w:rPr>
            </w:pPr>
            <w:permStart w:id="2" w:edGrp="everyone"/>
            <w:r>
              <w:rPr>
                <w:rStyle w:val="7"/>
                <w:rFonts w:hint="eastAsia" w:asciiTheme="minorEastAsia" w:hAnsiTheme="minorEastAsia" w:eastAsiaTheme="minorEastAsia" w:cstheme="minorEastAsia"/>
                <w:b/>
                <w:bCs/>
                <w:sz w:val="15"/>
                <w:szCs w:val="15"/>
                <w:highlight w:val="yellow"/>
              </w:rPr>
              <w:t>项目</w:t>
            </w:r>
          </w:p>
        </w:tc>
        <w:tc>
          <w:tcPr>
            <w:tcW w:w="927" w:type="dxa"/>
            <w:shd w:val="clear" w:color="auto" w:fill="99CCFF"/>
            <w:vAlign w:val="center"/>
          </w:tcPr>
          <w:p w14:paraId="527353FA">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商品名称</w:t>
            </w:r>
          </w:p>
        </w:tc>
        <w:tc>
          <w:tcPr>
            <w:tcW w:w="4400" w:type="dxa"/>
            <w:shd w:val="clear" w:color="auto" w:fill="99CCFF"/>
            <w:vAlign w:val="center"/>
          </w:tcPr>
          <w:p w14:paraId="259AE21E">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Style w:val="7"/>
                <w:rFonts w:hint="eastAsia" w:asciiTheme="minorEastAsia" w:hAnsiTheme="minorEastAsia" w:eastAsiaTheme="minorEastAsia" w:cstheme="minorEastAsia"/>
                <w:b/>
                <w:bCs/>
                <w:sz w:val="15"/>
                <w:szCs w:val="15"/>
                <w:highlight w:val="yellow"/>
              </w:rPr>
              <w:t>货物说明</w:t>
            </w:r>
          </w:p>
        </w:tc>
        <w:tc>
          <w:tcPr>
            <w:tcW w:w="680" w:type="dxa"/>
            <w:shd w:val="clear" w:color="auto" w:fill="99CCFF"/>
            <w:vAlign w:val="center"/>
          </w:tcPr>
          <w:p w14:paraId="500A50FC">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数量</w:t>
            </w:r>
          </w:p>
        </w:tc>
        <w:tc>
          <w:tcPr>
            <w:tcW w:w="870" w:type="dxa"/>
            <w:shd w:val="clear" w:color="auto" w:fill="99CCFF"/>
            <w:vAlign w:val="center"/>
          </w:tcPr>
          <w:p w14:paraId="1165FB90">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单价（元）</w:t>
            </w:r>
          </w:p>
        </w:tc>
        <w:tc>
          <w:tcPr>
            <w:tcW w:w="1009" w:type="dxa"/>
            <w:shd w:val="clear" w:color="auto" w:fill="99CCFF"/>
            <w:vAlign w:val="center"/>
          </w:tcPr>
          <w:p w14:paraId="0BD5D4AD">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小计(元)</w:t>
            </w:r>
          </w:p>
        </w:tc>
      </w:tr>
      <w:tr w14:paraId="2D11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668" w:type="dxa"/>
            <w:shd w:val="solid" w:color="FFFFFF" w:fill="44546A" w:themeFill="text2"/>
            <w:vAlign w:val="center"/>
          </w:tcPr>
          <w:p w14:paraId="15FB18FE">
            <w:pPr>
              <w:spacing w:line="340" w:lineRule="atLeast"/>
              <w:jc w:val="center"/>
              <w:rPr>
                <w:rStyle w:val="7"/>
                <w:rFonts w:hint="eastAsia" w:asciiTheme="minorEastAsia" w:hAnsiTheme="minorEastAsia" w:eastAsiaTheme="minorEastAsia" w:cstheme="minorEastAsia"/>
                <w:sz w:val="15"/>
                <w:szCs w:val="15"/>
                <w:highlight w:val="yellow"/>
              </w:rPr>
            </w:pPr>
            <w:r>
              <w:rPr>
                <w:rFonts w:hint="eastAsia" w:asciiTheme="minorEastAsia" w:hAnsiTheme="minorEastAsia" w:eastAsiaTheme="minorEastAsia" w:cstheme="minorEastAsia"/>
                <w:sz w:val="15"/>
                <w:szCs w:val="15"/>
                <w:highlight w:val="yellow"/>
              </w:rPr>
              <w:t>1</w:t>
            </w:r>
          </w:p>
        </w:tc>
        <w:tc>
          <w:tcPr>
            <w:tcW w:w="927" w:type="dxa"/>
            <w:shd w:val="solid" w:color="FFFFFF" w:fill="44546A" w:themeFill="text2"/>
            <w:vAlign w:val="center"/>
          </w:tcPr>
          <w:p w14:paraId="51C94FDD">
            <w:pPr>
              <w:snapToGrid w:val="0"/>
              <w:spacing w:line="240" w:lineRule="exact"/>
              <w:rPr>
                <w:rFonts w:hint="default" w:asciiTheme="minorEastAsia" w:hAnsiTheme="minorEastAsia" w:eastAsiaTheme="minorEastAsia" w:cstheme="minorEastAsia"/>
                <w:kern w:val="2"/>
                <w:sz w:val="15"/>
                <w:szCs w:val="15"/>
                <w:highlight w:val="yellow"/>
                <w:lang w:val="en-US" w:eastAsia="zh-CN" w:bidi="ar-SA"/>
              </w:rPr>
            </w:pPr>
            <w:r>
              <w:rPr>
                <w:rFonts w:hint="eastAsia" w:asciiTheme="minorEastAsia" w:hAnsiTheme="minorEastAsia" w:eastAsiaTheme="minorEastAsia" w:cstheme="minorEastAsia"/>
                <w:kern w:val="2"/>
                <w:sz w:val="15"/>
                <w:szCs w:val="15"/>
                <w:highlight w:val="yellow"/>
                <w:lang w:val="en-US" w:eastAsia="zh-CN" w:bidi="ar-SA"/>
              </w:rPr>
              <w:t>渗透测试服务</w:t>
            </w:r>
          </w:p>
        </w:tc>
        <w:tc>
          <w:tcPr>
            <w:tcW w:w="4400" w:type="dxa"/>
            <w:shd w:val="solid" w:color="FFFFFF" w:fill="44546A" w:themeFill="text2"/>
            <w:vAlign w:val="center"/>
          </w:tcPr>
          <w:p w14:paraId="416A75B6">
            <w:pPr>
              <w:snapToGrid w:val="0"/>
              <w:spacing w:line="240" w:lineRule="exact"/>
              <w:rPr>
                <w:rFonts w:hint="default" w:asciiTheme="minorEastAsia" w:hAnsiTheme="minorEastAsia" w:eastAsiaTheme="minorEastAsia" w:cstheme="minorEastAsia"/>
                <w:kern w:val="2"/>
                <w:sz w:val="15"/>
                <w:szCs w:val="15"/>
                <w:highlight w:val="yellow"/>
                <w:lang w:val="en-US" w:eastAsia="zh-CN" w:bidi="ar-SA"/>
              </w:rPr>
            </w:pPr>
            <w:r>
              <w:rPr>
                <w:rFonts w:hint="default" w:asciiTheme="minorEastAsia" w:hAnsiTheme="minorEastAsia" w:eastAsiaTheme="minorEastAsia" w:cstheme="minorEastAsia"/>
                <w:kern w:val="2"/>
                <w:sz w:val="15"/>
                <w:szCs w:val="15"/>
                <w:highlight w:val="yellow"/>
                <w:lang w:val="en-US" w:eastAsia="zh-CN" w:bidi="ar-SA"/>
              </w:rPr>
              <w:t>渗透测试服务利用主流的攻击技术和工具对目标网络、业务系统、数据库进行模拟黑客攻击测试，将发现的安全漏洞进行整理，给出详细说明，并针对每一个安全漏洞提供相应的解决建议。</w:t>
            </w:r>
          </w:p>
        </w:tc>
        <w:tc>
          <w:tcPr>
            <w:tcW w:w="680" w:type="dxa"/>
            <w:shd w:val="solid" w:color="FFFFFF" w:fill="44546A" w:themeFill="text2"/>
            <w:vAlign w:val="center"/>
          </w:tcPr>
          <w:p w14:paraId="5B4C230C">
            <w:pPr>
              <w:snapToGrid w:val="0"/>
              <w:spacing w:line="240" w:lineRule="exact"/>
              <w:jc w:val="center"/>
              <w:rPr>
                <w:rStyle w:val="7"/>
                <w:rFonts w:hint="eastAsia" w:asciiTheme="minorEastAsia" w:hAnsiTheme="minorEastAsia" w:eastAsiaTheme="minorEastAsia" w:cstheme="minorEastAsia"/>
                <w:color w:val="FF0000"/>
                <w:sz w:val="15"/>
                <w:szCs w:val="15"/>
                <w:highlight w:val="yellow"/>
                <w:lang w:val="en-US" w:eastAsia="zh-CN"/>
              </w:rPr>
            </w:pPr>
            <w:r>
              <w:rPr>
                <w:rStyle w:val="7"/>
                <w:rFonts w:hint="eastAsia" w:asciiTheme="minorEastAsia" w:hAnsiTheme="minorEastAsia" w:eastAsiaTheme="minorEastAsia" w:cstheme="minorEastAsia"/>
                <w:color w:val="FF0000"/>
                <w:sz w:val="15"/>
                <w:szCs w:val="15"/>
                <w:highlight w:val="none"/>
                <w:lang w:val="en-US" w:eastAsia="zh-CN"/>
              </w:rPr>
              <w:t>2套</w:t>
            </w:r>
          </w:p>
        </w:tc>
        <w:tc>
          <w:tcPr>
            <w:tcW w:w="870" w:type="dxa"/>
            <w:shd w:val="solid" w:color="FFFFFF" w:fill="44546A" w:themeFill="text2"/>
            <w:vAlign w:val="center"/>
          </w:tcPr>
          <w:p w14:paraId="0C8AD51F">
            <w:pPr>
              <w:snapToGrid w:val="0"/>
              <w:spacing w:line="240" w:lineRule="exact"/>
              <w:jc w:val="center"/>
              <w:rPr>
                <w:rFonts w:hint="default" w:asciiTheme="minorEastAsia" w:hAnsiTheme="minorEastAsia" w:eastAsiaTheme="minorEastAsia" w:cstheme="minorEastAsia"/>
                <w:color w:val="FF0000"/>
                <w:kern w:val="2"/>
                <w:sz w:val="15"/>
                <w:szCs w:val="15"/>
                <w:highlight w:val="yellow"/>
                <w:lang w:val="en-US" w:eastAsia="zh-CN" w:bidi="ar-SA"/>
              </w:rPr>
            </w:pPr>
            <w:r>
              <w:rPr>
                <w:rStyle w:val="7"/>
                <w:rFonts w:hint="eastAsia" w:asciiTheme="minorEastAsia" w:hAnsiTheme="minorEastAsia" w:eastAsiaTheme="minorEastAsia" w:cstheme="minorEastAsia"/>
                <w:color w:val="FF0000"/>
                <w:sz w:val="15"/>
                <w:szCs w:val="15"/>
                <w:highlight w:val="yellow"/>
                <w:lang w:val="en-US" w:eastAsia="zh-CN"/>
              </w:rPr>
              <w:t xml:space="preserve"> 4000</w:t>
            </w:r>
          </w:p>
        </w:tc>
        <w:tc>
          <w:tcPr>
            <w:tcW w:w="1009" w:type="dxa"/>
            <w:shd w:val="solid" w:color="FFFFFF" w:fill="44546A" w:themeFill="text2"/>
            <w:vAlign w:val="center"/>
          </w:tcPr>
          <w:p w14:paraId="793E17FA">
            <w:pPr>
              <w:snapToGrid w:val="0"/>
              <w:spacing w:line="240" w:lineRule="exact"/>
              <w:jc w:val="center"/>
              <w:rPr>
                <w:rFonts w:hint="default" w:asciiTheme="minorEastAsia" w:hAnsiTheme="minorEastAsia" w:eastAsiaTheme="minorEastAsia" w:cstheme="minorEastAsia"/>
                <w:color w:val="FF0000"/>
                <w:kern w:val="2"/>
                <w:sz w:val="15"/>
                <w:szCs w:val="15"/>
                <w:highlight w:val="yellow"/>
                <w:lang w:val="en-US" w:eastAsia="zh-CN" w:bidi="ar-SA"/>
              </w:rPr>
            </w:pPr>
            <w:r>
              <w:rPr>
                <w:rFonts w:hint="eastAsia" w:asciiTheme="minorEastAsia" w:hAnsiTheme="minorEastAsia" w:eastAsiaTheme="minorEastAsia" w:cstheme="minorEastAsia"/>
                <w:color w:val="FF0000"/>
                <w:kern w:val="2"/>
                <w:sz w:val="15"/>
                <w:szCs w:val="15"/>
                <w:highlight w:val="yellow"/>
                <w:lang w:val="en-US" w:eastAsia="zh-CN" w:bidi="ar-SA"/>
              </w:rPr>
              <w:t>4000</w:t>
            </w:r>
          </w:p>
        </w:tc>
      </w:tr>
      <w:tr w14:paraId="7524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4" w:type="dxa"/>
            <w:gridSpan w:val="6"/>
            <w:shd w:val="solid" w:color="FFFFFF" w:fill="44546A" w:themeFill="text2"/>
            <w:vAlign w:val="center"/>
          </w:tcPr>
          <w:p w14:paraId="4A6C69A0">
            <w:pPr>
              <w:snapToGrid w:val="0"/>
              <w:spacing w:line="340" w:lineRule="atLeast"/>
              <w:jc w:val="center"/>
              <w:rPr>
                <w:rFonts w:hint="eastAsia" w:asciiTheme="minorEastAsia" w:hAnsiTheme="minorEastAsia" w:eastAsiaTheme="minorEastAsia" w:cstheme="minorEastAsia"/>
                <w:sz w:val="15"/>
                <w:szCs w:val="15"/>
                <w:highlight w:val="yellow"/>
              </w:rPr>
            </w:pPr>
            <w:r>
              <w:rPr>
                <w:rFonts w:hint="eastAsia" w:asciiTheme="minorEastAsia" w:hAnsiTheme="minorEastAsia" w:eastAsiaTheme="minorEastAsia" w:cstheme="minorEastAsia"/>
                <w:b/>
                <w:sz w:val="15"/>
                <w:szCs w:val="15"/>
                <w:highlight w:val="yellow"/>
              </w:rPr>
              <w:t>总价（含</w:t>
            </w:r>
            <w:r>
              <w:rPr>
                <w:rFonts w:hint="eastAsia" w:asciiTheme="minorEastAsia" w:hAnsiTheme="minorEastAsia" w:eastAsiaTheme="minorEastAsia" w:cstheme="minorEastAsia"/>
                <w:b/>
                <w:sz w:val="15"/>
                <w:szCs w:val="15"/>
                <w:highlight w:val="yellow"/>
                <w:lang w:val="en-US" w:eastAsia="zh-CN"/>
              </w:rPr>
              <w:t>6</w:t>
            </w:r>
            <w:r>
              <w:rPr>
                <w:rFonts w:hint="eastAsia" w:asciiTheme="minorEastAsia" w:hAnsiTheme="minorEastAsia" w:eastAsiaTheme="minorEastAsia" w:cstheme="minorEastAsia"/>
                <w:b/>
                <w:color w:val="000000" w:themeColor="text1"/>
                <w:sz w:val="15"/>
                <w:szCs w:val="15"/>
                <w:highlight w:val="yellow"/>
                <w:u w:val="single"/>
                <w14:textFill>
                  <w14:solidFill>
                    <w14:schemeClr w14:val="tx1"/>
                  </w14:solidFill>
                </w14:textFill>
              </w:rPr>
              <w:t>%</w:t>
            </w:r>
            <w:r>
              <w:rPr>
                <w:rFonts w:hint="eastAsia" w:asciiTheme="minorEastAsia" w:hAnsiTheme="minorEastAsia" w:eastAsiaTheme="minorEastAsia" w:cstheme="minorEastAsia"/>
                <w:b/>
                <w:sz w:val="15"/>
                <w:szCs w:val="15"/>
                <w:highlight w:val="yellow"/>
              </w:rPr>
              <w:t>增值税）：</w:t>
            </w:r>
            <w:r>
              <w:rPr>
                <w:rFonts w:hint="eastAsia" w:asciiTheme="minorEastAsia" w:hAnsiTheme="minorEastAsia" w:eastAsiaTheme="minorEastAsia" w:cstheme="minorEastAsia"/>
                <w:sz w:val="15"/>
                <w:szCs w:val="15"/>
                <w:highlight w:val="yellow"/>
                <w:u w:val="single"/>
              </w:rPr>
              <w:t xml:space="preserve"> </w:t>
            </w:r>
            <w:r>
              <w:rPr>
                <w:rFonts w:hint="eastAsia" w:asciiTheme="minorEastAsia" w:hAnsiTheme="minorEastAsia" w:eastAsiaTheme="minorEastAsia" w:cstheme="minorEastAsia"/>
                <w:color w:val="FF0000"/>
                <w:sz w:val="15"/>
                <w:szCs w:val="15"/>
                <w:highlight w:val="none"/>
                <w:u w:val="single"/>
                <w:lang w:val="en-US" w:eastAsia="zh-CN"/>
              </w:rPr>
              <w:t>¥</w:t>
            </w:r>
            <w:r>
              <w:rPr>
                <w:rFonts w:hint="eastAsia" w:asciiTheme="minorEastAsia" w:hAnsiTheme="minorEastAsia" w:eastAsiaTheme="minorEastAsia" w:cstheme="minorEastAsia"/>
                <w:color w:val="FF0000"/>
                <w:kern w:val="2"/>
                <w:sz w:val="15"/>
                <w:szCs w:val="15"/>
                <w:highlight w:val="none"/>
                <w:u w:val="single"/>
                <w:lang w:val="en-US" w:eastAsia="zh-CN" w:bidi="ar-SA"/>
              </w:rPr>
              <w:t>4000.00</w:t>
            </w:r>
            <w:r>
              <w:rPr>
                <w:rFonts w:hint="eastAsia" w:asciiTheme="minorEastAsia" w:hAnsiTheme="minorEastAsia" w:eastAsiaTheme="minorEastAsia" w:cstheme="minorEastAsia"/>
                <w:color w:val="FF0000"/>
                <w:sz w:val="15"/>
                <w:szCs w:val="15"/>
                <w:highlight w:val="none"/>
              </w:rPr>
              <w:t>元 大写：</w:t>
            </w:r>
            <w:r>
              <w:rPr>
                <w:rFonts w:hint="eastAsia" w:asciiTheme="minorEastAsia" w:hAnsiTheme="minorEastAsia" w:eastAsiaTheme="minorEastAsia" w:cstheme="minorEastAsia"/>
                <w:color w:val="FF0000"/>
                <w:sz w:val="15"/>
                <w:szCs w:val="15"/>
                <w:highlight w:val="none"/>
                <w:lang w:val="en-US" w:eastAsia="zh-CN"/>
              </w:rPr>
              <w:t>肆仟</w:t>
            </w:r>
            <w:r>
              <w:rPr>
                <w:rFonts w:hint="eastAsia" w:asciiTheme="minorEastAsia" w:hAnsiTheme="minorEastAsia" w:eastAsiaTheme="minorEastAsia" w:cstheme="minorEastAsia"/>
                <w:color w:val="FF0000"/>
                <w:sz w:val="15"/>
                <w:szCs w:val="15"/>
                <w:highlight w:val="none"/>
              </w:rPr>
              <w:t>元整</w:t>
            </w:r>
          </w:p>
        </w:tc>
      </w:tr>
      <w:permEnd w:id="2"/>
    </w:tbl>
    <w:p w14:paraId="3D53E9E9">
      <w:pPr>
        <w:pStyle w:val="2"/>
        <w:spacing w:line="340" w:lineRule="atLeast"/>
        <w:ind w:left="0" w:leftChars="0" w:firstLine="0" w:firstLineChars="0"/>
        <w:rPr>
          <w:rFonts w:hint="eastAsia" w:asciiTheme="minorEastAsia" w:hAnsiTheme="minorEastAsia" w:eastAsiaTheme="minorEastAsia" w:cstheme="minorEastAsia"/>
          <w:color w:val="auto"/>
          <w:sz w:val="21"/>
          <w:szCs w:val="21"/>
          <w:highlight w:val="none"/>
        </w:rPr>
      </w:pPr>
    </w:p>
    <w:p w14:paraId="0BE76A70">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产品运输及交货</w:t>
      </w:r>
    </w:p>
    <w:p w14:paraId="0BE76A71">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乙方负责标的物的包装及运输，包装和运输的成本由乙方承担；甲方对到货时间有特别要求的，包装和运输成本由甲方承担。</w:t>
      </w:r>
    </w:p>
    <w:p w14:paraId="0BE76A72">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交货地点为：</w:t>
      </w:r>
      <w:permStart w:id="3" w:edGrp="everyone"/>
      <w:r>
        <w:rPr>
          <w:rFonts w:hint="eastAsia"/>
          <w:color w:val="auto"/>
          <w:highlight w:val="none"/>
          <w:u w:val="single"/>
        </w:rPr>
        <w:t xml:space="preserve">服务交付，无需货运 </w:t>
      </w:r>
      <w:permEnd w:id="3"/>
      <w:r>
        <w:rPr>
          <w:rFonts w:hint="eastAsia" w:asciiTheme="minorEastAsia" w:hAnsiTheme="minorEastAsia" w:eastAsiaTheme="minorEastAsia" w:cstheme="minorEastAsia"/>
          <w:color w:val="auto"/>
          <w:szCs w:val="21"/>
          <w:highlight w:val="none"/>
        </w:rPr>
        <w:t>(交货地点较多的须另附清单，软件与服务默认无需发货)。上述交货地点仅限于中国境内。若交货地点改变的，甲方应于约定的发货时间前一个工作日通知乙方。因交货地点发生改变而甲方通知不及时导致的额外运输成本由甲方承担，且乙方无需承担因此导致的交货延迟责任。</w:t>
      </w:r>
    </w:p>
    <w:p w14:paraId="0BE76A73">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货物到达约定交货地点后，甲方或甲方指定的第三方应在当日进行收货，甲方或甲方指定的第三方签收货单后即视为货物已交付。若甲方或甲方指定的第三方在收货时，无合理理由拒收货物的，由此导致的额外运输、存储、维护成本由甲方承担，且乙方无需承担因此导致的交货延迟责任。</w:t>
      </w:r>
    </w:p>
    <w:p w14:paraId="0BE76A74">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货物交付后，货物毁损灭失的风险由甲方承担。</w:t>
      </w:r>
    </w:p>
    <w:p w14:paraId="3C9FC8FB">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甲方应对软件产品的质量情况进行验收，如不符合合同约定，则应在收到货物三日内向乙方提出，否则视为产品交付合格。</w:t>
      </w:r>
    </w:p>
    <w:p w14:paraId="0BE76A75">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结算及货款支付</w:t>
      </w:r>
    </w:p>
    <w:p w14:paraId="0BE76A76">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合同双方之间发生的一切费用均以人民币结算及支付。</w:t>
      </w:r>
    </w:p>
    <w:p w14:paraId="51AA6D8C">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本合同费用总额（含税价）</w:t>
      </w:r>
      <w:r>
        <w:rPr>
          <w:rFonts w:hint="eastAsia" w:asciiTheme="minorEastAsia" w:hAnsiTheme="minorEastAsia" w:eastAsiaTheme="minorEastAsia" w:cstheme="minorEastAsia"/>
          <w:color w:val="auto"/>
          <w:szCs w:val="21"/>
          <w:highlight w:val="none"/>
          <w:lang w:eastAsia="zh-CN"/>
        </w:rPr>
        <w:t>：</w:t>
      </w:r>
      <w:r>
        <w:rPr>
          <w:rFonts w:hint="eastAsia" w:asciiTheme="minorEastAsia" w:hAnsiTheme="minorEastAsia" w:eastAsiaTheme="minorEastAsia" w:cstheme="minorEastAsia"/>
          <w:color w:val="auto"/>
          <w:szCs w:val="21"/>
          <w:highlight w:val="yellow"/>
          <w:lang w:eastAsia="zh-CN"/>
        </w:rPr>
        <w:t>¥</w:t>
      </w:r>
      <w:r>
        <w:rPr>
          <w:rFonts w:hint="eastAsia" w:asciiTheme="minorEastAsia" w:hAnsiTheme="minorEastAsia" w:eastAsiaTheme="minorEastAsia" w:cstheme="minorEastAsia"/>
          <w:color w:val="auto"/>
          <w:szCs w:val="21"/>
          <w:highlight w:val="yellow"/>
          <w:lang w:val="en-US" w:eastAsia="zh-CN"/>
        </w:rPr>
        <w:t>4</w:t>
      </w:r>
      <w:r>
        <w:rPr>
          <w:rFonts w:hint="eastAsia" w:asciiTheme="minorEastAsia" w:hAnsiTheme="minorEastAsia" w:eastAsiaTheme="minorEastAsia" w:cstheme="minorEastAsia"/>
          <w:color w:val="auto"/>
          <w:szCs w:val="21"/>
          <w:highlight w:val="yellow"/>
          <w:lang w:eastAsia="zh-CN"/>
        </w:rPr>
        <w:t>000.00元 大写：</w:t>
      </w:r>
      <w:r>
        <w:rPr>
          <w:rFonts w:hint="eastAsia" w:asciiTheme="minorEastAsia" w:hAnsiTheme="minorEastAsia" w:eastAsiaTheme="minorEastAsia" w:cstheme="minorEastAsia"/>
          <w:color w:val="auto"/>
          <w:szCs w:val="21"/>
          <w:highlight w:val="yellow"/>
          <w:lang w:val="en-US" w:eastAsia="zh-CN"/>
        </w:rPr>
        <w:t>肆仟</w:t>
      </w:r>
      <w:r>
        <w:rPr>
          <w:rFonts w:hint="eastAsia" w:asciiTheme="minorEastAsia" w:hAnsiTheme="minorEastAsia" w:eastAsiaTheme="minorEastAsia" w:cstheme="minorEastAsia"/>
          <w:color w:val="auto"/>
          <w:szCs w:val="21"/>
          <w:highlight w:val="yellow"/>
          <w:lang w:eastAsia="zh-CN"/>
        </w:rPr>
        <w:t>元整</w:t>
      </w:r>
      <w:r>
        <w:rPr>
          <w:rFonts w:hint="eastAsia" w:asciiTheme="minorEastAsia" w:hAnsiTheme="minorEastAsia" w:eastAsiaTheme="minorEastAsia" w:cstheme="minorEastAsia"/>
          <w:szCs w:val="21"/>
          <w:highlight w:val="yellow"/>
          <w:lang w:eastAsia="zh-CN"/>
        </w:rPr>
        <w:t>。</w:t>
      </w:r>
    </w:p>
    <w:p w14:paraId="7423BE65">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本合同签订后，甲方按以下第（</w:t>
      </w:r>
      <w:r>
        <w:rPr>
          <w:rFonts w:hint="eastAsia"/>
          <w:color w:val="auto"/>
          <w:highlight w:val="none"/>
          <w:u w:val="single"/>
        </w:rPr>
        <w:t>（</w:t>
      </w:r>
      <w:permStart w:id="4" w:edGrp="everyone"/>
      <w:r>
        <w:rPr>
          <w:rFonts w:hint="eastAsia"/>
          <w:color w:val="auto"/>
          <w:highlight w:val="none"/>
          <w:u w:val="single"/>
        </w:rPr>
        <w:t xml:space="preserve"> 1 </w:t>
      </w:r>
      <w:permEnd w:id="4"/>
      <w:r>
        <w:rPr>
          <w:rFonts w:hint="eastAsia"/>
          <w:color w:val="auto"/>
          <w:highlight w:val="none"/>
          <w:u w:val="single"/>
        </w:rPr>
        <w:t>）</w:t>
      </w:r>
      <w:r>
        <w:rPr>
          <w:rFonts w:hint="eastAsia" w:asciiTheme="minorEastAsia" w:hAnsiTheme="minorEastAsia" w:eastAsiaTheme="minorEastAsia" w:cstheme="minorEastAsia"/>
          <w:color w:val="auto"/>
          <w:szCs w:val="21"/>
          <w:highlight w:val="none"/>
        </w:rPr>
        <w:t>）的方式向乙方付款。</w:t>
      </w:r>
      <w:r>
        <w:rPr>
          <w:rFonts w:hint="eastAsia" w:asciiTheme="minorEastAsia" w:hAnsiTheme="minorEastAsia" w:eastAsiaTheme="minorEastAsia" w:cstheme="minorEastAsia"/>
          <w:b/>
          <w:bCs/>
          <w:color w:val="auto"/>
          <w:szCs w:val="21"/>
          <w:highlight w:val="none"/>
        </w:rPr>
        <w:t>若未能按期支付，甲方需以未付款项为基数，按照每日千分之一的标准向乙方支付违约金，并承担乙方的维权费用，如律师费、诉讼费、担保费等。</w:t>
      </w:r>
    </w:p>
    <w:p w14:paraId="1A4C22FA">
      <w:pPr>
        <w:pStyle w:val="8"/>
        <w:numPr>
          <w:ilvl w:val="0"/>
          <w:numId w:val="4"/>
        </w:numPr>
        <w:spacing w:before="156" w:beforeLines="50" w:after="156" w:afterLines="50" w:line="340" w:lineRule="atLeast"/>
        <w:ind w:left="630" w:leftChars="30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一次性支付</w:t>
      </w:r>
    </w:p>
    <w:p w14:paraId="6A02DED1">
      <w:pPr>
        <w:pStyle w:val="2"/>
        <w:spacing w:before="156" w:beforeLines="50" w:after="156" w:afterLines="50" w:line="340" w:lineRule="atLeast"/>
        <w:ind w:left="1050" w:leftChars="500"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yellow"/>
        </w:rPr>
        <w:t>合同签订后，甲方须在</w:t>
      </w:r>
      <w:permStart w:id="5" w:edGrp="everyone"/>
      <w:r>
        <w:rPr>
          <w:rFonts w:hint="eastAsia" w:asciiTheme="minorEastAsia" w:hAnsiTheme="minorEastAsia" w:eastAsiaTheme="minorEastAsia" w:cstheme="minorEastAsia"/>
          <w:color w:val="auto"/>
          <w:sz w:val="21"/>
          <w:szCs w:val="21"/>
          <w:highlight w:val="yellow"/>
          <w:lang w:val="en-US" w:eastAsia="zh-CN"/>
        </w:rPr>
        <w:t>5</w:t>
      </w:r>
      <w:permEnd w:id="5"/>
      <w:r>
        <w:rPr>
          <w:rFonts w:hint="eastAsia" w:asciiTheme="minorEastAsia" w:hAnsiTheme="minorEastAsia" w:eastAsiaTheme="minorEastAsia" w:cstheme="minorEastAsia"/>
          <w:color w:val="auto"/>
          <w:sz w:val="21"/>
          <w:szCs w:val="21"/>
          <w:highlight w:val="yellow"/>
        </w:rPr>
        <w:t>个自然日内向乙</w:t>
      </w:r>
      <w:r>
        <w:rPr>
          <w:rFonts w:hint="eastAsia" w:asciiTheme="minorEastAsia" w:hAnsiTheme="minorEastAsia" w:eastAsiaTheme="minorEastAsia" w:cstheme="minorEastAsia"/>
          <w:color w:val="auto"/>
          <w:sz w:val="21"/>
          <w:szCs w:val="21"/>
          <w:highlight w:val="none"/>
        </w:rPr>
        <w:t>方支付全部款项，乙方收到全款后</w:t>
      </w:r>
      <w:permStart w:id="6" w:edGrp="everyone"/>
      <w:r>
        <w:rPr>
          <w:rFonts w:hint="eastAsia"/>
          <w:color w:val="auto"/>
          <w:highlight w:val="none"/>
          <w:u w:val="single"/>
        </w:rPr>
        <w:t>5</w:t>
      </w:r>
      <w:permEnd w:id="6"/>
      <w:r>
        <w:rPr>
          <w:rFonts w:hint="eastAsia" w:asciiTheme="minorEastAsia" w:hAnsiTheme="minorEastAsia" w:eastAsiaTheme="minorEastAsia" w:cstheme="minorEastAsia"/>
          <w:color w:val="auto"/>
          <w:sz w:val="21"/>
          <w:szCs w:val="21"/>
          <w:highlight w:val="none"/>
        </w:rPr>
        <w:t>个自然日内提供货物。</w:t>
      </w:r>
    </w:p>
    <w:p w14:paraId="38791E3F">
      <w:pPr>
        <w:pStyle w:val="8"/>
        <w:numPr>
          <w:ilvl w:val="0"/>
          <w:numId w:val="4"/>
        </w:numPr>
        <w:spacing w:before="156" w:beforeLines="50" w:after="156" w:afterLines="50" w:line="340" w:lineRule="atLeast"/>
        <w:ind w:left="630" w:leftChars="30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分期支付</w:t>
      </w:r>
    </w:p>
    <w:p w14:paraId="7FF85695">
      <w:pPr>
        <w:pStyle w:val="2"/>
        <w:numPr>
          <w:ilvl w:val="0"/>
          <w:numId w:val="5"/>
        </w:numPr>
        <w:spacing w:before="156" w:beforeLines="50" w:after="156" w:afterLines="50" w:line="340" w:lineRule="atLeast"/>
        <w:ind w:left="1050" w:leftChars="50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合同签订后，甲方须在</w:t>
      </w:r>
      <w:permStart w:id="7" w:edGrp="everyone"/>
      <w:r>
        <w:rPr>
          <w:rFonts w:hint="eastAsia"/>
          <w:color w:val="auto"/>
          <w:highlight w:val="none"/>
          <w:u w:val="single"/>
        </w:rPr>
        <w:t>5</w:t>
      </w:r>
      <w:permEnd w:id="7"/>
      <w:r>
        <w:rPr>
          <w:rFonts w:hint="eastAsia" w:asciiTheme="minorEastAsia" w:hAnsiTheme="minorEastAsia" w:eastAsiaTheme="minorEastAsia" w:cstheme="minorEastAsia"/>
          <w:color w:val="auto"/>
          <w:sz w:val="21"/>
          <w:szCs w:val="21"/>
          <w:highlight w:val="none"/>
        </w:rPr>
        <w:t>个自然日内向乙方支付</w:t>
      </w:r>
      <w:permStart w:id="8" w:edGrp="everyone"/>
      <w:r>
        <w:rPr>
          <w:rFonts w:hint="eastAsia"/>
          <w:color w:val="auto"/>
          <w:highlight w:val="none"/>
          <w:u w:val="single"/>
        </w:rPr>
        <w:t>70</w:t>
      </w:r>
      <w:permEnd w:id="8"/>
      <w:r>
        <w:rPr>
          <w:rFonts w:hint="eastAsia" w:asciiTheme="minorEastAsia" w:hAnsiTheme="minorEastAsia" w:eastAsiaTheme="minorEastAsia" w:cstheme="minorEastAsia"/>
          <w:b/>
          <w:bCs/>
          <w:color w:val="auto"/>
          <w:sz w:val="21"/>
          <w:szCs w:val="21"/>
          <w:highlight w:val="none"/>
          <w:u w:val="single" w:color="000000" w:themeColor="text1"/>
        </w:rPr>
        <w:t>%</w:t>
      </w:r>
      <w:r>
        <w:rPr>
          <w:rFonts w:hint="eastAsia" w:asciiTheme="minorEastAsia" w:hAnsiTheme="minorEastAsia" w:eastAsiaTheme="minorEastAsia" w:cstheme="minorEastAsia"/>
          <w:color w:val="auto"/>
          <w:sz w:val="21"/>
          <w:szCs w:val="21"/>
          <w:highlight w:val="none"/>
        </w:rPr>
        <w:t>款项，即大写人民币[</w:t>
      </w:r>
      <w:permStart w:id="9" w:edGrp="everyone"/>
      <w:r>
        <w:rPr>
          <w:rFonts w:hint="eastAsia"/>
          <w:color w:val="auto"/>
          <w:sz w:val="21"/>
          <w:szCs w:val="21"/>
          <w:highlight w:val="none"/>
          <w:u w:val="single"/>
        </w:rPr>
        <w:t xml:space="preserve">       </w:t>
      </w:r>
      <w:permEnd w:id="9"/>
      <w:r>
        <w:rPr>
          <w:rFonts w:hint="eastAsia" w:asciiTheme="minorEastAsia" w:hAnsiTheme="minorEastAsia" w:eastAsiaTheme="minorEastAsia" w:cstheme="minorEastAsia"/>
          <w:color w:val="auto"/>
          <w:sz w:val="21"/>
          <w:szCs w:val="21"/>
          <w:highlight w:val="none"/>
        </w:rPr>
        <w:t>整]，¥[</w:t>
      </w:r>
      <w:permStart w:id="10" w:edGrp="everyone"/>
      <w:r>
        <w:rPr>
          <w:rFonts w:hint="eastAsia"/>
          <w:color w:val="auto"/>
          <w:sz w:val="21"/>
          <w:szCs w:val="21"/>
          <w:highlight w:val="none"/>
          <w:u w:val="single"/>
        </w:rPr>
        <w:t xml:space="preserve">       </w:t>
      </w:r>
      <w:permEnd w:id="10"/>
      <w:r>
        <w:rPr>
          <w:rFonts w:hint="eastAsia" w:asciiTheme="minorEastAsia" w:hAnsiTheme="minorEastAsia" w:eastAsiaTheme="minorEastAsia" w:cstheme="minorEastAsia"/>
          <w:color w:val="auto"/>
          <w:sz w:val="21"/>
          <w:szCs w:val="21"/>
          <w:highlight w:val="none"/>
        </w:rPr>
        <w:t>]，乙方收到货款后</w:t>
      </w:r>
      <w:permStart w:id="11" w:edGrp="everyone"/>
      <w:r>
        <w:rPr>
          <w:rFonts w:hint="eastAsia"/>
          <w:color w:val="auto"/>
          <w:highlight w:val="none"/>
          <w:u w:val="single"/>
        </w:rPr>
        <w:t>5</w:t>
      </w:r>
      <w:permEnd w:id="11"/>
      <w:r>
        <w:rPr>
          <w:rFonts w:hint="eastAsia" w:asciiTheme="minorEastAsia" w:hAnsiTheme="minorEastAsia" w:eastAsiaTheme="minorEastAsia" w:cstheme="minorEastAsia"/>
          <w:color w:val="auto"/>
          <w:sz w:val="21"/>
          <w:szCs w:val="21"/>
          <w:highlight w:val="none"/>
        </w:rPr>
        <w:t>个自然日内提供货物。</w:t>
      </w:r>
    </w:p>
    <w:p w14:paraId="2EBBE0ED">
      <w:pPr>
        <w:pStyle w:val="2"/>
        <w:numPr>
          <w:ilvl w:val="0"/>
          <w:numId w:val="5"/>
        </w:numPr>
        <w:spacing w:before="156" w:beforeLines="50" w:after="156" w:afterLines="50" w:line="340" w:lineRule="atLeast"/>
        <w:ind w:left="1050" w:leftChars="50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合同签订后，甲方须在</w:t>
      </w:r>
      <w:permStart w:id="12" w:edGrp="everyone"/>
      <w:r>
        <w:rPr>
          <w:rFonts w:hint="eastAsia"/>
          <w:color w:val="auto"/>
          <w:highlight w:val="none"/>
          <w:u w:val="single"/>
        </w:rPr>
        <w:t>30</w:t>
      </w:r>
      <w:permEnd w:id="12"/>
      <w:r>
        <w:rPr>
          <w:rFonts w:hint="eastAsia" w:asciiTheme="minorEastAsia" w:hAnsiTheme="minorEastAsia" w:eastAsiaTheme="minorEastAsia" w:cstheme="minorEastAsia"/>
          <w:color w:val="auto"/>
          <w:sz w:val="21"/>
          <w:szCs w:val="21"/>
          <w:highlight w:val="none"/>
        </w:rPr>
        <w:t>个自然日内</w:t>
      </w:r>
      <w:permStart w:id="13" w:edGrp="everyone"/>
      <w:r>
        <w:rPr>
          <w:rFonts w:hint="eastAsia" w:asciiTheme="minorEastAsia" w:hAnsiTheme="minorEastAsia" w:eastAsiaTheme="minorEastAsia" w:cstheme="minorEastAsia"/>
          <w:b/>
          <w:bCs/>
          <w:color w:val="auto"/>
          <w:sz w:val="21"/>
          <w:szCs w:val="21"/>
          <w:highlight w:val="none"/>
          <w:u w:val="single"/>
        </w:rPr>
        <w:t>向乙方支付剩余全部款项</w:t>
      </w:r>
      <w:permEnd w:id="13"/>
      <w:r>
        <w:rPr>
          <w:rFonts w:hint="eastAsia" w:asciiTheme="minorEastAsia" w:hAnsiTheme="minorEastAsia" w:eastAsiaTheme="minorEastAsia" w:cstheme="minorEastAsia"/>
          <w:color w:val="auto"/>
          <w:sz w:val="21"/>
          <w:szCs w:val="21"/>
          <w:highlight w:val="none"/>
        </w:rPr>
        <w:t>，即大写人民币[</w:t>
      </w:r>
      <w:permStart w:id="14" w:edGrp="everyone"/>
      <w:r>
        <w:rPr>
          <w:rFonts w:hint="eastAsia"/>
          <w:color w:val="auto"/>
          <w:sz w:val="21"/>
          <w:szCs w:val="21"/>
          <w:highlight w:val="none"/>
          <w:u w:val="single"/>
        </w:rPr>
        <w:t xml:space="preserve">       </w:t>
      </w:r>
      <w:permEnd w:id="14"/>
      <w:r>
        <w:rPr>
          <w:rFonts w:hint="eastAsia" w:asciiTheme="minorEastAsia" w:hAnsiTheme="minorEastAsia" w:eastAsiaTheme="minorEastAsia" w:cstheme="minorEastAsia"/>
          <w:color w:val="auto"/>
          <w:sz w:val="21"/>
          <w:szCs w:val="21"/>
          <w:highlight w:val="none"/>
        </w:rPr>
        <w:t>整]，¥[</w:t>
      </w:r>
      <w:permStart w:id="15" w:edGrp="everyone"/>
      <w:r>
        <w:rPr>
          <w:rFonts w:hint="eastAsia"/>
          <w:color w:val="auto"/>
          <w:sz w:val="21"/>
          <w:szCs w:val="21"/>
          <w:highlight w:val="none"/>
          <w:u w:val="single"/>
        </w:rPr>
        <w:t xml:space="preserve">       </w:t>
      </w:r>
      <w:permEnd w:id="15"/>
      <w:r>
        <w:rPr>
          <w:rFonts w:hint="eastAsia" w:asciiTheme="minorEastAsia" w:hAnsiTheme="minorEastAsia" w:eastAsiaTheme="minorEastAsia" w:cstheme="minorEastAsia"/>
          <w:color w:val="auto"/>
          <w:sz w:val="21"/>
          <w:szCs w:val="21"/>
          <w:highlight w:val="none"/>
        </w:rPr>
        <w:t>]。</w:t>
      </w:r>
    </w:p>
    <w:p w14:paraId="23F18239">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甲方同意以转账方式将本合同项下的费用支付至乙方指定银行账户，乙方不接受现金付款。乙方指定银行账户信息如下：</w:t>
      </w:r>
    </w:p>
    <w:p w14:paraId="031D8C58">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名  称：深圳白帽守护科技有限公司（盖章）</w:t>
      </w:r>
    </w:p>
    <w:p w14:paraId="1F9DB1F6">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开户行：招商银行股份有限公司深圳前海分行</w:t>
      </w:r>
    </w:p>
    <w:p w14:paraId="7FC0E15D">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账  号：7559 7633 8110 008</w:t>
      </w:r>
    </w:p>
    <w:p w14:paraId="445FA2B3">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如甲方以现金</w:t>
      </w:r>
      <w:r>
        <w:rPr>
          <w:rFonts w:asciiTheme="minorEastAsia" w:hAnsiTheme="minorEastAsia" w:eastAsiaTheme="minorEastAsia" w:cstheme="minorEastAsia"/>
          <w:color w:val="auto"/>
          <w:szCs w:val="21"/>
          <w:highlight w:val="none"/>
        </w:rPr>
        <w:t>方式</w:t>
      </w:r>
      <w:r>
        <w:rPr>
          <w:rFonts w:hint="eastAsia" w:asciiTheme="minorEastAsia" w:hAnsiTheme="minorEastAsia" w:eastAsiaTheme="minorEastAsia" w:cstheme="minorEastAsia"/>
          <w:color w:val="auto"/>
          <w:szCs w:val="21"/>
          <w:highlight w:val="none"/>
        </w:rPr>
        <w:t>支付或未将款项支付至乙方上述指定银行账户，导致乙方未能收到相关费用，视同甲方未支付。</w:t>
      </w:r>
    </w:p>
    <w:p w14:paraId="414E84AE">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乙方在产品交付后</w:t>
      </w:r>
      <w:permStart w:id="16" w:edGrp="everyone"/>
      <w:r>
        <w:rPr>
          <w:rFonts w:hint="eastAsia"/>
          <w:color w:val="auto"/>
          <w:highlight w:val="none"/>
          <w:u w:val="single"/>
        </w:rPr>
        <w:t>7</w:t>
      </w:r>
      <w:permEnd w:id="16"/>
      <w:r>
        <w:rPr>
          <w:rFonts w:hint="eastAsia" w:asciiTheme="minorEastAsia" w:hAnsiTheme="minorEastAsia" w:eastAsiaTheme="minorEastAsia" w:cstheme="minorEastAsia"/>
          <w:color w:val="auto"/>
          <w:szCs w:val="21"/>
          <w:highlight w:val="none"/>
        </w:rPr>
        <w:t>个自然日内，按照甲方提供的开票信息向其开具全额增值税发票。甲方取得发票并不代表甲方款项已付清，款项付清以甲方全部款项支付至乙方指定银行账户为标准。由于甲方原因造成发票遗失或者发票过期未认证的，损失由甲方自行承担。</w:t>
      </w:r>
      <w:bookmarkStart w:id="0" w:name="_Hlk38615168"/>
    </w:p>
    <w:p w14:paraId="56FEDA8D">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知识产权</w:t>
      </w:r>
    </w:p>
    <w:p w14:paraId="1733C1E5">
      <w:pPr>
        <w:spacing w:before="156" w:beforeLines="50" w:after="156" w:afterLines="50" w:line="340" w:lineRule="atLeast"/>
        <w:ind w:left="723" w:hanging="723" w:hangingChars="30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 xml:space="preserve"> </w:t>
      </w:r>
      <w:r>
        <w:rPr>
          <w:rFonts w:hint="eastAsia" w:asciiTheme="minorEastAsia" w:hAnsiTheme="minorEastAsia" w:eastAsiaTheme="minorEastAsia" w:cstheme="minorEastAsia"/>
          <w:color w:val="auto"/>
          <w:szCs w:val="21"/>
          <w:highlight w:val="none"/>
        </w:rPr>
        <w:t xml:space="preserve"> 1. </w:t>
      </w:r>
      <w:r>
        <w:rPr>
          <w:rFonts w:hint="eastAsia" w:asciiTheme="minorEastAsia" w:hAnsiTheme="minorEastAsia" w:eastAsiaTheme="minorEastAsia" w:cstheme="minorEastAsia"/>
          <w:b/>
          <w:color w:val="auto"/>
          <w:sz w:val="24"/>
          <w:szCs w:val="24"/>
          <w:highlight w:val="none"/>
        </w:rPr>
        <w:t xml:space="preserve"> </w:t>
      </w:r>
      <w:r>
        <w:rPr>
          <w:rFonts w:hint="eastAsia" w:asciiTheme="minorEastAsia" w:hAnsiTheme="minorEastAsia" w:eastAsiaTheme="minorEastAsia" w:cstheme="minorEastAsia"/>
          <w:color w:val="auto"/>
          <w:szCs w:val="21"/>
          <w:highlight w:val="none"/>
        </w:rPr>
        <w:t>甲方不得以任何方式自行复制软件，不得向第三方转让、出租或提供软件拷贝件，不得对软件采取反向工程、反编译等正常使用以外的措施。</w:t>
      </w:r>
    </w:p>
    <w:p w14:paraId="7A5AB74E">
      <w:pPr>
        <w:spacing w:before="156" w:beforeLines="50" w:after="156" w:afterLines="50" w:line="340" w:lineRule="atLeast"/>
        <w:ind w:left="630" w:leftChars="100" w:hanging="420" w:hangingChars="20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2. 甲方不得协助第三方对本合同所涉及的软件产品及相关文件做出侵权行为(不包含未来甲方委托第三方进行产品二次开发的行为)，否则，甲方与第三方应承担共同侵权的连带赔偿责任。</w:t>
      </w:r>
    </w:p>
    <w:p w14:paraId="2D48356A">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保密</w:t>
      </w:r>
    </w:p>
    <w:p w14:paraId="2E4F38BF">
      <w:pPr>
        <w:spacing w:before="156" w:beforeLines="50" w:after="156" w:afterLines="50" w:line="340" w:lineRule="atLeast"/>
        <w:ind w:left="420" w:leftChars="20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甲方应对履行本协议过程中所接触到的乙方的保密信息，包括但不限于软件补丁、相关技术资料、技术诀窍等负有保密义务。未经乙方事先书面同意，不得进行任何形式的使用或者透露给任何第三方或作为其他商业用途。本条规定之保密义务自保密内容公开之日。未经乙方书面同意，甲方不得以任何形式向第三方透露，否则应承担由此给乙方造成的所有损失。</w:t>
      </w:r>
    </w:p>
    <w:bookmarkEnd w:id="0"/>
    <w:p w14:paraId="0BE76A86">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不可抗力</w:t>
      </w:r>
    </w:p>
    <w:p w14:paraId="0BE76A87">
      <w:pPr>
        <w:numPr>
          <w:ilvl w:val="0"/>
          <w:numId w:val="6"/>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本合同中，不可抗力是指不能预见、不能避免且不能克服的客观情况，包括：战争、火灾、洪水、台风、地震、政策变化或其它人力不可抗拒之事件。</w:t>
      </w:r>
    </w:p>
    <w:p w14:paraId="38788CBD">
      <w:pPr>
        <w:numPr>
          <w:ilvl w:val="0"/>
          <w:numId w:val="6"/>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Cs/>
          <w:color w:val="auto"/>
          <w:szCs w:val="21"/>
          <w:highlight w:val="none"/>
        </w:rPr>
        <w:t>因不可抗力导致的任何一方违约，违约方无需承担责任，但应及时通知对方，并应在上述不可抗力事件消除后15日内提供有关主管部门的证明。</w:t>
      </w:r>
    </w:p>
    <w:p w14:paraId="2E4AA64E">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争议解决</w:t>
      </w:r>
    </w:p>
    <w:p w14:paraId="42048DD9">
      <w:pPr>
        <w:pStyle w:val="2"/>
        <w:spacing w:before="156" w:beforeLines="50" w:after="156" w:afterLines="50" w:line="340" w:lineRule="atLeast"/>
        <w:ind w:left="210" w:leftChars="100" w:firstLine="42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在本合同履行中，若发生争议，双方应先协商解决；协商不成时，任意一方均可向乙方所在地有管辖权的人民法院提起诉讼。</w:t>
      </w:r>
    </w:p>
    <w:p w14:paraId="647F00B8">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其他</w:t>
      </w:r>
    </w:p>
    <w:p w14:paraId="267DD137">
      <w:pPr>
        <w:numPr>
          <w:ilvl w:val="0"/>
          <w:numId w:val="7"/>
        </w:numPr>
        <w:spacing w:before="156" w:beforeLines="50" w:after="156" w:afterLines="50" w:line="340" w:lineRule="atLeast"/>
        <w:ind w:left="210" w:leftChars="10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自双方加盖公章或合同章后生效，买卖双方均不得随意变更或解除合同。如一方需要变更合同，双方需另行签订补充协议确认变更事项,补充协议在加盖双方公章或合同章后生效。如若双方未就变更事项签订补充协议的,提出变更方仍应依本合同约定继续履行，否则视为违约。</w:t>
      </w:r>
    </w:p>
    <w:p w14:paraId="43D00352">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如果乙方在签订后发现甲方的关联公司对乙方或乙方的关联公司有超期欠款，乙方可终止履行本合同。</w:t>
      </w:r>
    </w:p>
    <w:p w14:paraId="1E1C408D">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按本合同规定应该偿付的违约金、赔偿金及其他各种经济损失，应当在明确责任后十日内支付给对方，否则按逾期付款处理。</w:t>
      </w:r>
    </w:p>
    <w:p w14:paraId="1C6F4594">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本合同一式二份，双方各执一份，具同等法律效力。</w:t>
      </w:r>
    </w:p>
    <w:p w14:paraId="3DF54E3C">
      <w:pPr>
        <w:spacing w:before="156" w:beforeLines="50" w:after="156" w:afterLines="50" w:line="340" w:lineRule="atLeast"/>
        <w:jc w:val="center"/>
        <w:rPr>
          <w:rFonts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--------------------------------（以下无正文）-----------------------------------</w:t>
      </w:r>
    </w:p>
    <w:p w14:paraId="5B54F887">
      <w:pPr>
        <w:spacing w:before="156" w:beforeLines="50" w:after="156" w:afterLines="50" w:line="340" w:lineRule="atLeast"/>
        <w:jc w:val="center"/>
        <w:rPr>
          <w:rFonts w:hint="eastAsia" w:asciiTheme="minorEastAsia" w:hAnsiTheme="minorEastAsia" w:eastAsiaTheme="minorEastAsia" w:cstheme="minorEastAsia"/>
          <w:bCs/>
          <w:color w:val="auto"/>
          <w:szCs w:val="21"/>
          <w:highlight w:val="none"/>
        </w:rPr>
      </w:pPr>
    </w:p>
    <w:tbl>
      <w:tblPr>
        <w:tblStyle w:val="4"/>
        <w:tblW w:w="9030" w:type="dxa"/>
        <w:tblInd w:w="142" w:type="dxa"/>
        <w:tblLayout w:type="fixed"/>
        <w:tblCellMar>
          <w:top w:w="0" w:type="dxa"/>
          <w:left w:w="0" w:type="dxa"/>
          <w:bottom w:w="0" w:type="dxa"/>
          <w:right w:w="0" w:type="dxa"/>
        </w:tblCellMar>
      </w:tblPr>
      <w:tblGrid>
        <w:gridCol w:w="4678"/>
        <w:gridCol w:w="4352"/>
      </w:tblGrid>
      <w:tr w14:paraId="1567497D">
        <w:tblPrEx>
          <w:tblCellMar>
            <w:top w:w="0" w:type="dxa"/>
            <w:left w:w="0" w:type="dxa"/>
            <w:bottom w:w="0" w:type="dxa"/>
            <w:right w:w="0" w:type="dxa"/>
          </w:tblCellMar>
        </w:tblPrEx>
        <w:trPr>
          <w:trHeight w:val="398" w:hRule="atLeast"/>
        </w:trPr>
        <w:tc>
          <w:tcPr>
            <w:tcW w:w="4678" w:type="dxa"/>
          </w:tcPr>
          <w:p w14:paraId="20CB667A">
            <w:pPr>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甲方（买方）：</w:t>
            </w:r>
          </w:p>
        </w:tc>
        <w:tc>
          <w:tcPr>
            <w:tcW w:w="4352" w:type="dxa"/>
          </w:tcPr>
          <w:p w14:paraId="36271BEE">
            <w:pPr>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乙方（卖方）：</w:t>
            </w:r>
          </w:p>
        </w:tc>
      </w:tr>
      <w:tr w14:paraId="0EAFF98C">
        <w:tblPrEx>
          <w:tblCellMar>
            <w:top w:w="0" w:type="dxa"/>
            <w:left w:w="0" w:type="dxa"/>
            <w:bottom w:w="0" w:type="dxa"/>
            <w:right w:w="0" w:type="dxa"/>
          </w:tblCellMar>
        </w:tblPrEx>
        <w:trPr>
          <w:trHeight w:val="398" w:hRule="atLeast"/>
        </w:trPr>
        <w:tc>
          <w:tcPr>
            <w:tcW w:w="4678" w:type="dxa"/>
          </w:tcPr>
          <w:p w14:paraId="367AF396">
            <w:pPr>
              <w:ind w:firstLine="105" w:firstLineChars="50"/>
              <w:rPr>
                <w:rFonts w:hint="eastAsia" w:asciiTheme="minorEastAsia" w:hAnsiTheme="minorEastAsia" w:eastAsiaTheme="minorEastAsia"/>
                <w:b/>
                <w:color w:val="auto"/>
                <w:szCs w:val="21"/>
                <w:highlight w:val="none"/>
              </w:rPr>
            </w:pPr>
            <w:r>
              <w:rPr>
                <w:rFonts w:hint="eastAsia" w:asciiTheme="minorEastAsia" w:hAnsiTheme="minorEastAsia" w:eastAsiaTheme="minorEastAsia" w:cstheme="minorEastAsia"/>
                <w:color w:val="auto"/>
                <w:szCs w:val="21"/>
                <w:highlight w:val="yellow"/>
                <w:lang w:val="en-US" w:eastAsia="zh-CN"/>
              </w:rPr>
              <w:t>XXXX</w:t>
            </w:r>
            <w:r>
              <w:rPr>
                <w:rFonts w:hint="eastAsia" w:asciiTheme="minorEastAsia" w:hAnsiTheme="minorEastAsia" w:eastAsiaTheme="minorEastAsia" w:cstheme="minorEastAsia"/>
                <w:color w:val="auto"/>
                <w:szCs w:val="21"/>
                <w:highlight w:val="yellow"/>
                <w:lang w:eastAsia="zh-CN"/>
              </w:rPr>
              <w:t>公司</w:t>
            </w:r>
            <w:r>
              <w:rPr>
                <w:rFonts w:hint="eastAsia" w:asciiTheme="minorEastAsia" w:hAnsiTheme="minorEastAsia" w:eastAsiaTheme="minorEastAsia" w:cstheme="minorEastAsia"/>
                <w:color w:val="auto"/>
                <w:szCs w:val="21"/>
                <w:highlight w:val="yellow"/>
              </w:rPr>
              <w:t>（盖章）</w:t>
            </w:r>
          </w:p>
        </w:tc>
        <w:tc>
          <w:tcPr>
            <w:tcW w:w="4352" w:type="dxa"/>
          </w:tcPr>
          <w:p w14:paraId="25DF9DA8">
            <w:pPr>
              <w:rPr>
                <w:rFonts w:hint="eastAsia" w:asciiTheme="minorEastAsia" w:hAnsiTheme="minorEastAsia" w:eastAsiaTheme="minorEastAsia"/>
                <w:b/>
                <w:color w:val="auto"/>
                <w:szCs w:val="21"/>
                <w:highlight w:val="none"/>
              </w:rPr>
            </w:pPr>
            <w:r>
              <w:rPr>
                <w:rFonts w:hint="eastAsia" w:asciiTheme="minorEastAsia" w:hAnsiTheme="minorEastAsia" w:eastAsiaTheme="minorEastAsia" w:cstheme="minorEastAsia"/>
                <w:color w:val="auto"/>
                <w:szCs w:val="21"/>
                <w:highlight w:val="none"/>
              </w:rPr>
              <w:t>深圳白帽守护科技有限公司（盖章）</w:t>
            </w:r>
          </w:p>
        </w:tc>
      </w:tr>
      <w:tr w14:paraId="5DFB6688">
        <w:tblPrEx>
          <w:tblCellMar>
            <w:top w:w="0" w:type="dxa"/>
            <w:left w:w="0" w:type="dxa"/>
            <w:bottom w:w="0" w:type="dxa"/>
            <w:right w:w="0" w:type="dxa"/>
          </w:tblCellMar>
        </w:tblPrEx>
        <w:trPr>
          <w:trHeight w:val="383" w:hRule="atLeast"/>
        </w:trPr>
        <w:tc>
          <w:tcPr>
            <w:tcW w:w="4678" w:type="dxa"/>
          </w:tcPr>
          <w:p w14:paraId="1005163A">
            <w:pPr>
              <w:rPr>
                <w:rFonts w:hint="eastAsia" w:asciiTheme="minorEastAsia" w:hAnsiTheme="minorEastAsia" w:eastAsiaTheme="minorEastAsia"/>
                <w:color w:val="auto"/>
                <w:szCs w:val="21"/>
                <w:highlight w:val="none"/>
              </w:rPr>
            </w:pPr>
          </w:p>
        </w:tc>
        <w:tc>
          <w:tcPr>
            <w:tcW w:w="4352" w:type="dxa"/>
          </w:tcPr>
          <w:p w14:paraId="2E32628C">
            <w:pPr>
              <w:rPr>
                <w:rFonts w:hint="eastAsia" w:asciiTheme="minorEastAsia" w:hAnsiTheme="minorEastAsia" w:eastAsiaTheme="minorEastAsia"/>
                <w:color w:val="auto"/>
                <w:szCs w:val="21"/>
                <w:highlight w:val="none"/>
              </w:rPr>
            </w:pPr>
          </w:p>
        </w:tc>
      </w:tr>
      <w:tr w14:paraId="549D16FE">
        <w:tblPrEx>
          <w:tblCellMar>
            <w:top w:w="0" w:type="dxa"/>
            <w:left w:w="0" w:type="dxa"/>
            <w:bottom w:w="0" w:type="dxa"/>
            <w:right w:w="0" w:type="dxa"/>
          </w:tblCellMar>
        </w:tblPrEx>
        <w:trPr>
          <w:trHeight w:val="398" w:hRule="atLeast"/>
        </w:trPr>
        <w:tc>
          <w:tcPr>
            <w:tcW w:w="4678" w:type="dxa"/>
          </w:tcPr>
          <w:p w14:paraId="109948CD">
            <w:pPr>
              <w:rPr>
                <w:rFonts w:hint="eastAsia" w:asciiTheme="minorEastAsia" w:hAnsiTheme="minorEastAsia" w:eastAsiaTheme="minorEastAsia"/>
                <w:color w:val="auto"/>
                <w:szCs w:val="21"/>
                <w:highlight w:val="none"/>
              </w:rPr>
            </w:pPr>
          </w:p>
        </w:tc>
        <w:tc>
          <w:tcPr>
            <w:tcW w:w="4352" w:type="dxa"/>
          </w:tcPr>
          <w:p w14:paraId="638A8855">
            <w:pPr>
              <w:rPr>
                <w:rFonts w:hint="eastAsia" w:asciiTheme="minorEastAsia" w:hAnsiTheme="minorEastAsia" w:eastAsiaTheme="minorEastAsia"/>
                <w:color w:val="auto"/>
                <w:szCs w:val="21"/>
                <w:highlight w:val="none"/>
              </w:rPr>
            </w:pPr>
          </w:p>
        </w:tc>
      </w:tr>
      <w:tr w14:paraId="627B76E3">
        <w:tblPrEx>
          <w:tblCellMar>
            <w:top w:w="0" w:type="dxa"/>
            <w:left w:w="0" w:type="dxa"/>
            <w:bottom w:w="0" w:type="dxa"/>
            <w:right w:w="0" w:type="dxa"/>
          </w:tblCellMar>
        </w:tblPrEx>
        <w:trPr>
          <w:trHeight w:val="383" w:hRule="atLeast"/>
        </w:trPr>
        <w:tc>
          <w:tcPr>
            <w:tcW w:w="4678" w:type="dxa"/>
          </w:tcPr>
          <w:p w14:paraId="2988009E">
            <w:pPr>
              <w:rPr>
                <w:rFonts w:hint="eastAsia" w:asciiTheme="minorEastAsia" w:hAnsiTheme="minorEastAsia" w:eastAsiaTheme="minorEastAsia"/>
                <w:color w:val="auto"/>
                <w:szCs w:val="21"/>
                <w:highlight w:val="none"/>
                <w:u w:val="single"/>
              </w:rPr>
            </w:pPr>
            <w:r>
              <w:rPr>
                <w:rFonts w:hint="eastAsia" w:asciiTheme="minorEastAsia" w:hAnsiTheme="minorEastAsia" w:eastAsiaTheme="minorEastAsia"/>
                <w:color w:val="auto"/>
                <w:szCs w:val="21"/>
                <w:highlight w:val="none"/>
              </w:rPr>
              <w:t>日期</w:t>
            </w:r>
            <w:r>
              <w:rPr>
                <w:rFonts w:hint="eastAsia" w:asciiTheme="minorEastAsia" w:hAnsiTheme="minorEastAsia" w:eastAsiaTheme="minorEastAsia"/>
                <w:color w:val="auto"/>
                <w:szCs w:val="21"/>
                <w:highlight w:val="yellow"/>
              </w:rPr>
              <w:t>：</w:t>
            </w:r>
            <w:permStart w:id="17" w:edGrp="everyone"/>
            <w:r>
              <w:rPr>
                <w:rFonts w:hint="eastAsia" w:asciiTheme="minorEastAsia" w:hAnsiTheme="minorEastAsia" w:eastAsiaTheme="minorEastAsia"/>
                <w:color w:val="auto"/>
                <w:szCs w:val="21"/>
                <w:highlight w:val="yellow"/>
                <w:lang w:val="en-US" w:eastAsia="zh-CN"/>
              </w:rPr>
              <w:t>2025</w:t>
            </w:r>
            <w:r>
              <w:rPr>
                <w:rFonts w:hint="eastAsia" w:asciiTheme="minorEastAsia" w:hAnsiTheme="minorEastAsia" w:eastAsiaTheme="minorEastAsia"/>
                <w:color w:val="auto"/>
                <w:szCs w:val="21"/>
                <w:highlight w:val="yellow"/>
                <w:u w:val="single"/>
              </w:rPr>
              <w:t>年</w:t>
            </w:r>
            <w:r>
              <w:rPr>
                <w:rFonts w:hint="eastAsia" w:asciiTheme="minorEastAsia" w:hAnsiTheme="minorEastAsia" w:eastAsiaTheme="minorEastAsia"/>
                <w:color w:val="auto"/>
                <w:szCs w:val="21"/>
                <w:highlight w:val="yellow"/>
                <w:u w:val="single"/>
                <w:lang w:val="en-US" w:eastAsia="zh-CN"/>
              </w:rPr>
              <w:t>08</w:t>
            </w:r>
            <w:r>
              <w:rPr>
                <w:rFonts w:hint="eastAsia" w:asciiTheme="minorEastAsia" w:hAnsiTheme="minorEastAsia" w:eastAsiaTheme="minorEastAsia"/>
                <w:color w:val="auto"/>
                <w:szCs w:val="21"/>
                <w:highlight w:val="yellow"/>
                <w:u w:val="single"/>
              </w:rPr>
              <w:t>月</w:t>
            </w:r>
            <w:r>
              <w:rPr>
                <w:rFonts w:hint="eastAsia" w:asciiTheme="minorEastAsia" w:hAnsiTheme="minorEastAsia" w:eastAsiaTheme="minorEastAsia"/>
                <w:color w:val="auto"/>
                <w:szCs w:val="21"/>
                <w:highlight w:val="yellow"/>
                <w:u w:val="single"/>
                <w:lang w:val="en-US" w:eastAsia="zh-CN"/>
              </w:rPr>
              <w:t>22</w:t>
            </w:r>
            <w:r>
              <w:rPr>
                <w:rFonts w:hint="eastAsia" w:asciiTheme="minorEastAsia" w:hAnsiTheme="minorEastAsia" w:eastAsiaTheme="minorEastAsia"/>
                <w:color w:val="auto"/>
                <w:szCs w:val="21"/>
                <w:highlight w:val="yellow"/>
                <w:u w:val="single"/>
              </w:rPr>
              <w:t>日</w:t>
            </w:r>
            <w:permEnd w:id="17"/>
          </w:p>
        </w:tc>
        <w:tc>
          <w:tcPr>
            <w:tcW w:w="4352" w:type="dxa"/>
          </w:tcPr>
          <w:p w14:paraId="618C67EA">
            <w:pPr>
              <w:rPr>
                <w:rFonts w:hint="eastAsia" w:asciiTheme="minorEastAsia" w:hAnsiTheme="minorEastAsia" w:eastAsiaTheme="minorEastAsia"/>
                <w:color w:val="auto"/>
                <w:szCs w:val="21"/>
                <w:highlight w:val="none"/>
                <w:u w:val="single"/>
              </w:rPr>
            </w:pPr>
            <w:r>
              <w:rPr>
                <w:rFonts w:hint="eastAsia" w:asciiTheme="minorEastAsia" w:hAnsiTheme="minorEastAsia" w:eastAsiaTheme="minorEastAsia"/>
                <w:color w:val="auto"/>
                <w:szCs w:val="21"/>
                <w:highlight w:val="none"/>
              </w:rPr>
              <w:t>日期：</w:t>
            </w:r>
            <w:permStart w:id="18" w:edGrp="everyone"/>
            <w:r>
              <w:rPr>
                <w:rFonts w:hint="eastAsia" w:asciiTheme="minorEastAsia" w:hAnsiTheme="minorEastAsia" w:eastAsiaTheme="minorEastAsia"/>
                <w:color w:val="auto"/>
                <w:szCs w:val="21"/>
                <w:highlight w:val="none"/>
                <w:lang w:val="en-US" w:eastAsia="zh-CN"/>
              </w:rPr>
              <w:t>2025</w:t>
            </w:r>
            <w:r>
              <w:rPr>
                <w:rFonts w:hint="eastAsia" w:asciiTheme="minorEastAsia" w:hAnsiTheme="minorEastAsia" w:eastAsiaTheme="minorEastAsia"/>
                <w:color w:val="auto"/>
                <w:szCs w:val="21"/>
                <w:highlight w:val="none"/>
                <w:u w:val="single"/>
              </w:rPr>
              <w:t>年</w:t>
            </w:r>
            <w:r>
              <w:rPr>
                <w:rFonts w:hint="eastAsia" w:asciiTheme="minorEastAsia" w:hAnsiTheme="minorEastAsia" w:eastAsiaTheme="minorEastAsia"/>
                <w:color w:val="auto"/>
                <w:szCs w:val="21"/>
                <w:highlight w:val="none"/>
                <w:u w:val="single"/>
                <w:lang w:val="en-US" w:eastAsia="zh-CN"/>
              </w:rPr>
              <w:t>08</w:t>
            </w:r>
            <w:r>
              <w:rPr>
                <w:rFonts w:hint="eastAsia" w:asciiTheme="minorEastAsia" w:hAnsiTheme="minorEastAsia" w:eastAsiaTheme="minorEastAsia"/>
                <w:color w:val="auto"/>
                <w:szCs w:val="21"/>
                <w:highlight w:val="none"/>
                <w:u w:val="single"/>
              </w:rPr>
              <w:t>月</w:t>
            </w:r>
            <w:r>
              <w:rPr>
                <w:rFonts w:hint="eastAsia" w:asciiTheme="minorEastAsia" w:hAnsiTheme="minorEastAsia" w:eastAsiaTheme="minorEastAsia"/>
                <w:color w:val="auto"/>
                <w:szCs w:val="21"/>
                <w:highlight w:val="none"/>
                <w:u w:val="single"/>
                <w:lang w:val="en-US" w:eastAsia="zh-CN"/>
              </w:rPr>
              <w:t>22</w:t>
            </w:r>
            <w:r>
              <w:rPr>
                <w:rFonts w:hint="eastAsia" w:asciiTheme="minorEastAsia" w:hAnsiTheme="minorEastAsia" w:eastAsiaTheme="minorEastAsia"/>
                <w:color w:val="auto"/>
                <w:szCs w:val="21"/>
                <w:highlight w:val="none"/>
                <w:u w:val="single"/>
              </w:rPr>
              <w:t>日</w:t>
            </w:r>
            <w:permEnd w:id="18"/>
          </w:p>
        </w:tc>
      </w:tr>
    </w:tbl>
    <w:p w14:paraId="44310DAB">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9F6DE6"/>
    <w:multiLevelType w:val="multilevel"/>
    <w:tmpl w:val="3C9F6DE6"/>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5B866CF2"/>
    <w:multiLevelType w:val="multilevel"/>
    <w:tmpl w:val="5B866CF2"/>
    <w:lvl w:ilvl="0" w:tentative="0">
      <w:start w:val="1"/>
      <w:numFmt w:val="japaneseCounting"/>
      <w:lvlText w:val="第%1章"/>
      <w:lvlJc w:val="left"/>
      <w:pPr>
        <w:tabs>
          <w:tab w:val="left" w:pos="990"/>
        </w:tabs>
        <w:ind w:left="990" w:hanging="990"/>
      </w:pPr>
      <w:rPr>
        <w:rFonts w:hint="default"/>
      </w:rPr>
    </w:lvl>
    <w:lvl w:ilvl="1" w:tentative="0">
      <w:start w:val="1"/>
      <w:numFmt w:val="decimal"/>
      <w:lvlText w:val="%2、"/>
      <w:lvlJc w:val="left"/>
      <w:pPr>
        <w:tabs>
          <w:tab w:val="left" w:pos="840"/>
        </w:tabs>
        <w:ind w:left="840" w:hanging="420"/>
      </w:pPr>
      <w:rPr>
        <w:rFonts w:hint="eastAsia"/>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B866EAA"/>
    <w:multiLevelType w:val="singleLevel"/>
    <w:tmpl w:val="5B866EAA"/>
    <w:lvl w:ilvl="0" w:tentative="0">
      <w:start w:val="1"/>
      <w:numFmt w:val="decimal"/>
      <w:lvlText w:val="%1."/>
      <w:lvlJc w:val="left"/>
      <w:pPr>
        <w:ind w:left="425" w:hanging="425"/>
      </w:pPr>
      <w:rPr>
        <w:rFonts w:hint="default"/>
      </w:rPr>
    </w:lvl>
  </w:abstractNum>
  <w:abstractNum w:abstractNumId="3">
    <w:nsid w:val="5B867170"/>
    <w:multiLevelType w:val="singleLevel"/>
    <w:tmpl w:val="5B867170"/>
    <w:lvl w:ilvl="0" w:tentative="0">
      <w:start w:val="1"/>
      <w:numFmt w:val="decimal"/>
      <w:lvlText w:val="%1."/>
      <w:lvlJc w:val="left"/>
      <w:pPr>
        <w:ind w:left="425" w:hanging="425"/>
      </w:pPr>
      <w:rPr>
        <w:rFonts w:hint="default"/>
      </w:rPr>
    </w:lvl>
  </w:abstractNum>
  <w:abstractNum w:abstractNumId="4">
    <w:nsid w:val="5B867285"/>
    <w:multiLevelType w:val="singleLevel"/>
    <w:tmpl w:val="5B867285"/>
    <w:lvl w:ilvl="0" w:tentative="0">
      <w:start w:val="1"/>
      <w:numFmt w:val="decimal"/>
      <w:lvlText w:val="%1."/>
      <w:lvlJc w:val="left"/>
      <w:pPr>
        <w:ind w:left="425" w:hanging="425"/>
      </w:pPr>
      <w:rPr>
        <w:rFonts w:hint="default"/>
      </w:rPr>
    </w:lvl>
  </w:abstractNum>
  <w:abstractNum w:abstractNumId="5">
    <w:nsid w:val="6B725601"/>
    <w:multiLevelType w:val="multilevel"/>
    <w:tmpl w:val="6B725601"/>
    <w:lvl w:ilvl="0" w:tentative="0">
      <w:start w:val="1"/>
      <w:numFmt w:val="decimal"/>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6">
    <w:nsid w:val="7BC45E0F"/>
    <w:multiLevelType w:val="singleLevel"/>
    <w:tmpl w:val="7BC45E0F"/>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D67926"/>
    <w:rsid w:val="3C830A53"/>
    <w:rsid w:val="5F911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Indent 2"/>
    <w:basedOn w:val="1"/>
    <w:qFormat/>
    <w:uiPriority w:val="0"/>
    <w:pPr>
      <w:ind w:left="540" w:leftChars="257" w:firstLine="480" w:firstLineChars="200"/>
    </w:pPr>
    <w:rPr>
      <w:sz w:val="24"/>
    </w:rPr>
  </w:style>
  <w:style w:type="paragraph" w:styleId="3">
    <w:name w:val="Normal (Web)"/>
    <w:basedOn w:val="1"/>
    <w:qFormat/>
    <w:uiPriority w:val="0"/>
    <w:pPr>
      <w:widowControl/>
      <w:spacing w:before="100" w:beforeAutospacing="1" w:after="100" w:afterAutospacing="1"/>
      <w:jc w:val="left"/>
    </w:pPr>
    <w:rPr>
      <w:rFonts w:ascii="宋体" w:hAnsi="宋体"/>
      <w:kern w:val="0"/>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annotation reference"/>
    <w:qFormat/>
    <w:uiPriority w:val="0"/>
    <w:rPr>
      <w:sz w:val="21"/>
      <w:szCs w:val="21"/>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2025-07-30T01:42:00Z</dcterms:created>
  <dc:creator>ZhuanZ.DESKTOP-0L8MPSF</dc:creator>
  <cp:lastModifiedBy>three</cp:lastModifiedBy>
  <dcterms:modified xsi:type="dcterms:W3CDTF">2026-03-26T01:50:35Z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B40F04D2D5784244A4521A32DA30C9F8_12</vt:lpwstr>
  </property>
</Properties>
</file>