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0F172A"/>
          <w:sz w:val="44"/>
        </w:rPr>
        <w:t>HealthNet Clinical AI Portal — Stakeholder Q&amp;A &amp; Feature Capability Guide</w:t>
      </w:r>
    </w:p>
    <w:p>
      <w:pPr>
        <w:jc w:val="center"/>
      </w:pPr>
      <w:r>
        <w:rPr>
          <w:rFonts w:ascii="Calibri" w:hAnsi="Calibri"/>
          <w:i/>
          <w:color w:val="0284C7"/>
          <w:sz w:val="26"/>
        </w:rPr>
        <w:t>Anticipated Demo Questions, Supported vs. Future Capabilities &amp; AWS Cloud Roadmap</w:t>
      </w:r>
    </w:p>
    <w:p>
      <w:pPr>
        <w:spacing w:after="200"/>
      </w:pPr>
    </w:p>
    <w:p>
      <w:pPr>
        <w:pStyle w:val="Heading1"/>
      </w:pPr>
      <w:r>
        <w:rPr>
          <w:color w:val="0F172A"/>
        </w:rPr>
        <w:t>1. Executive Overview &amp; Demo Briefing Context</w:t>
      </w:r>
    </w:p>
    <w:p>
      <w:r>
        <w:rPr>
          <w:sz w:val="21"/>
        </w:rPr>
        <w:t>This document equips the presenter with direct, authoritative answers to high-frequency technical, clinical, and architectural questions anticipated during today's live demonstration of the HealthNet Clinical AI Portal. It details current functional capabilities, boundaries of the local prototype, and the enterprise AWS production roadmap.</w:t>
      </w:r>
    </w:p>
    <w:p>
      <w:pPr>
        <w:pStyle w:val="Heading1"/>
      </w:pPr>
      <w:r>
        <w:rPr>
          <w:color w:val="0F172A"/>
        </w:rPr>
        <w:t>2. Anticipated Demo Q&amp;A (Questions &amp; Technical Answers)</w:t>
      </w:r>
    </w:p>
    <w:p>
      <w:pPr>
        <w:spacing w:before="120" w:after="40"/>
      </w:pPr>
      <w:r>
        <w:rPr>
          <w:b/>
          <w:color w:val="0284C7"/>
          <w:sz w:val="19"/>
        </w:rPr>
        <w:t>[Architecture &amp; EHR Integration]</w:t>
        <w:br/>
      </w:r>
      <w:r>
        <w:rPr>
          <w:b/>
          <w:color w:val="0F172A"/>
          <w:sz w:val="22"/>
        </w:rPr>
        <w:t>Q1: Is this portal connected live to our production EHR systems (e.g. Epic, Cerner, Allscripts)?</w:t>
      </w:r>
    </w:p>
    <w:p>
      <w:pPr>
        <w:spacing w:after="160"/>
        <w:ind w:left="288"/>
      </w:pPr>
      <w:r>
        <w:rPr>
          <w:b/>
          <w:color w:val="10B981"/>
        </w:rPr>
        <w:t xml:space="preserve">Answer: </w:t>
      </w:r>
      <w:r>
        <w:rPr>
          <w:color w:val="334155"/>
          <w:sz w:val="20"/>
        </w:rPr>
        <w:t>Currently, NO. This application is an interactive local prototype powered by synthetic FHIR R4 JSON schemas (Patients, Encounters, Observations, Diagnostic Reports). In production, the platform will connect via AWS HealthLake and HL7 FHIR R4 APIs using secure SMART-on-FHIR OAuth2 adapters.</w:t>
      </w:r>
    </w:p>
    <w:p>
      <w:pPr>
        <w:spacing w:before="120" w:after="40"/>
      </w:pPr>
      <w:r>
        <w:rPr>
          <w:b/>
          <w:color w:val="0284C7"/>
          <w:sz w:val="19"/>
        </w:rPr>
        <w:t>[AI Safety &amp; Zero-Hallucination]</w:t>
        <w:br/>
      </w:r>
      <w:r>
        <w:rPr>
          <w:b/>
          <w:color w:val="0F172A"/>
          <w:sz w:val="22"/>
        </w:rPr>
        <w:t>Q2: How does the AI Assistant ensure clinical accuracy and prevent hallucinations?</w:t>
      </w:r>
    </w:p>
    <w:p>
      <w:pPr>
        <w:spacing w:after="160"/>
        <w:ind w:left="288"/>
      </w:pPr>
      <w:r>
        <w:rPr>
          <w:b/>
          <w:color w:val="10B981"/>
        </w:rPr>
        <w:t xml:space="preserve">Answer: </w:t>
      </w:r>
      <w:r>
        <w:rPr>
          <w:color w:val="334155"/>
          <w:sz w:val="20"/>
        </w:rPr>
        <w:t>The assistant executes a 10-stage integrated execution pipeline. Before generating output, Stage 7 (Pre-Guardrail) enforces DLP/PHI redaction. Following LLM inference, Stage 9 (Post-Guardrail) performs zero-hallucination token validation against ground-truth medical documents, and Stage 10 (Response Validation) validates LOINC/ICD-10 code mappings and medical citations before rendering.</w:t>
      </w:r>
    </w:p>
    <w:p>
      <w:pPr>
        <w:spacing w:before="120" w:after="40"/>
      </w:pPr>
      <w:r>
        <w:rPr>
          <w:b/>
          <w:color w:val="0284C7"/>
          <w:sz w:val="19"/>
        </w:rPr>
        <w:t>[Multi-Hospital Scalability]</w:t>
        <w:br/>
      </w:r>
      <w:r>
        <w:rPr>
          <w:b/>
          <w:color w:val="0F172A"/>
          <w:sz w:val="22"/>
        </w:rPr>
        <w:t>Q3: How does the multi-hospital network selection work under the hood?</w:t>
      </w:r>
    </w:p>
    <w:p>
      <w:pPr>
        <w:spacing w:after="160"/>
        <w:ind w:left="288"/>
      </w:pPr>
      <w:r>
        <w:rPr>
          <w:b/>
          <w:color w:val="10B981"/>
        </w:rPr>
        <w:t xml:space="preserve">Answer: </w:t>
      </w:r>
      <w:r>
        <w:rPr>
          <w:color w:val="334155"/>
          <w:sz w:val="20"/>
        </w:rPr>
        <w:t>The portal uses a global React Context (`HospitalNetworkContext`) managing multi-tenant hospital scopes (e.g., St. Jude, Metro General, HealthNet Central). Selecting a hospital dynamically filters synthetic patient cohorts, clinical metrics, audit trail logs, and agent execution scopes in real time without refreshing the web page.</w:t>
      </w:r>
    </w:p>
    <w:p>
      <w:pPr>
        <w:spacing w:before="120" w:after="40"/>
      </w:pPr>
      <w:r>
        <w:rPr>
          <w:b/>
          <w:color w:val="0284C7"/>
          <w:sz w:val="19"/>
        </w:rPr>
        <w:t>[Security &amp; HIPAA Compliance]</w:t>
        <w:br/>
      </w:r>
      <w:r>
        <w:rPr>
          <w:b/>
          <w:color w:val="0F172A"/>
          <w:sz w:val="22"/>
        </w:rPr>
        <w:t>Q4: How is patient PHI protected and who can see security audit logs?</w:t>
      </w:r>
    </w:p>
    <w:p>
      <w:pPr>
        <w:spacing w:after="160"/>
        <w:ind w:left="288"/>
      </w:pPr>
      <w:r>
        <w:rPr>
          <w:b/>
          <w:color w:val="10B981"/>
        </w:rPr>
        <w:t xml:space="preserve">Answer: </w:t>
      </w:r>
      <w:r>
        <w:rPr>
          <w:color w:val="334155"/>
          <w:sz w:val="20"/>
        </w:rPr>
        <w:t>Patient PHI is protected via Zero-Trust TLS 1.3 ingress at the AI Gateway and regex-based DLP redaction. Access Control uses Role-Based Access Control (RBAC). Clinical tools are available to Clinicians, whereas the Audit &amp; Compliance Center is strictly restricted to Portal Admins via RBAC route guards (`isAdmin`).</w:t>
      </w:r>
    </w:p>
    <w:p>
      <w:pPr>
        <w:spacing w:before="120" w:after="40"/>
      </w:pPr>
      <w:r>
        <w:rPr>
          <w:b/>
          <w:color w:val="0284C7"/>
          <w:sz w:val="19"/>
        </w:rPr>
        <w:t>[Appointments &amp; Encounter Management]</w:t>
        <w:br/>
      </w:r>
      <w:r>
        <w:rPr>
          <w:b/>
          <w:color w:val="0F172A"/>
          <w:sz w:val="22"/>
        </w:rPr>
        <w:t>Q5: How does the Appointment Booking and Closure workflow function?</w:t>
      </w:r>
    </w:p>
    <w:p>
      <w:pPr>
        <w:spacing w:after="160"/>
        <w:ind w:left="288"/>
      </w:pPr>
      <w:r>
        <w:rPr>
          <w:b/>
          <w:color w:val="10B981"/>
        </w:rPr>
        <w:t xml:space="preserve">Answer: </w:t>
      </w:r>
      <w:r>
        <w:rPr>
          <w:color w:val="334155"/>
          <w:sz w:val="20"/>
        </w:rPr>
        <w:t>Clinicians or staff click 'Book Appointment' to launch a lightweight modal requiring only basic patient details (Name, Age, Phone, Email, Facility, Department, Date, Time, Reason). Upon booking, it dispatches simulated automated Email &amp; SMS alerts and appends the record to the Scheduled Appointments Register. Clinicians can also click 'Close Appointment' to record encounter completion, capture closure reasons, and send completion receipts.</w:t>
      </w:r>
    </w:p>
    <w:p>
      <w:pPr>
        <w:spacing w:before="120" w:after="40"/>
      </w:pPr>
      <w:r>
        <w:rPr>
          <w:b/>
          <w:color w:val="0284C7"/>
          <w:sz w:val="19"/>
        </w:rPr>
        <w:t>[Executive ROI &amp; Performance]</w:t>
        <w:br/>
      </w:r>
      <w:r>
        <w:rPr>
          <w:b/>
          <w:color w:val="0F172A"/>
          <w:sz w:val="22"/>
        </w:rPr>
        <w:t>Q6: What operational metrics and ROI figures does the Executive Dashboard track?</w:t>
      </w:r>
    </w:p>
    <w:p>
      <w:pPr>
        <w:spacing w:after="160"/>
        <w:ind w:left="288"/>
      </w:pPr>
      <w:r>
        <w:rPr>
          <w:b/>
          <w:color w:val="10B981"/>
        </w:rPr>
        <w:t xml:space="preserve">Answer: </w:t>
      </w:r>
      <w:r>
        <w:rPr>
          <w:color w:val="334155"/>
          <w:sz w:val="20"/>
        </w:rPr>
        <w:t>The Executive Dashboard tracks 5 core KPIs: 8,542 Patients Impacted, 1,248 Documentation Hours Saved (▲ 18.9%), -40% Chart Review Time, 62% Automation Rate, and 0 Safety Incidents. It also displays estimated cost avoidance ($342,800 saved) and interactive SVG charts for Value Realized and AI Model Precision trends.</w:t>
      </w:r>
    </w:p>
    <w:p>
      <w:pPr>
        <w:spacing w:before="120" w:after="40"/>
      </w:pPr>
      <w:r>
        <w:rPr>
          <w:b/>
          <w:color w:val="0284C7"/>
          <w:sz w:val="19"/>
        </w:rPr>
        <w:t>[AWS Production Deployment]</w:t>
        <w:br/>
      </w:r>
      <w:r>
        <w:rPr>
          <w:b/>
          <w:color w:val="0F172A"/>
          <w:sz w:val="22"/>
        </w:rPr>
        <w:t>Q7: How will this local prototype be migrated to AWS Cloud for production deployment?</w:t>
      </w:r>
    </w:p>
    <w:p>
      <w:pPr>
        <w:spacing w:after="160"/>
        <w:ind w:left="288"/>
      </w:pPr>
      <w:r>
        <w:rPr>
          <w:b/>
          <w:color w:val="10B981"/>
        </w:rPr>
        <w:t xml:space="preserve">Answer: </w:t>
      </w:r>
      <w:r>
        <w:rPr>
          <w:color w:val="334155"/>
          <w:sz w:val="20"/>
        </w:rPr>
        <w:t>We have a full AWS deployment architecture: Frontend hosted on AWS Amplify/CloudFront, API Gateway for mTLS zero-trust routing, Amazon Cognito for SAML/OAuth2 auth, AWS ECS (Fargate) for multi-agent container microservices, Amazon Bedrock for managed clinical LLMs with Bedrock Guardrails, AWS HealthLake for FHIR datastores, Amazon Aurora Serverless v2 for database, and AWS CloudTrail/X-Ray for HIPAA audit trails.</w:t>
      </w:r>
    </w:p>
    <w:p>
      <w:pPr>
        <w:pStyle w:val="Heading1"/>
      </w:pPr>
      <w:r>
        <w:rPr>
          <w:color w:val="0F172A"/>
        </w:rPr>
        <w:t>3. Feature Capability Matrix (Supported vs. Future Roadmap)</w:t>
      </w:r>
    </w:p>
    <w:tbl>
      <w:tblPr>
        <w:tblW w:type="auto" w:w="0"/>
        <w:jc w:val="center"/>
        <w:tblLook w:firstColumn="1" w:firstRow="1" w:lastColumn="0" w:lastRow="0" w:noHBand="0" w:noVBand="1" w:val="04A0"/>
      </w:tblPr>
      <w:tblGrid>
        <w:gridCol w:w="3312"/>
        <w:gridCol w:w="3312"/>
        <w:gridCol w:w="3312"/>
      </w:tblGrid>
      <w:tr>
        <w:tc>
          <w:tcPr>
            <w:tcW w:type="dxa" w:w="3312"/>
            <w:shd w:fill="0F172A"/>
          </w:tcPr>
          <w:p>
            <w:r>
              <w:rPr>
                <w:b/>
                <w:color w:val="FFFFFF"/>
              </w:rPr>
              <w:t>Portal Module / Area</w:t>
            </w:r>
          </w:p>
        </w:tc>
        <w:tc>
          <w:tcPr>
            <w:tcW w:type="dxa" w:w="3312"/>
            <w:shd w:fill="0F172A"/>
          </w:tcPr>
          <w:p>
            <w:r>
              <w:rPr>
                <w:b/>
                <w:color w:val="FFFFFF"/>
              </w:rPr>
              <w:t>Currently Supported (Demo Prototype Scope)</w:t>
            </w:r>
          </w:p>
        </w:tc>
        <w:tc>
          <w:tcPr>
            <w:tcW w:type="dxa" w:w="3312"/>
            <w:shd w:fill="0F172A"/>
          </w:tcPr>
          <w:p>
            <w:r>
              <w:rPr>
                <w:b/>
                <w:color w:val="FFFFFF"/>
              </w:rPr>
              <w:t>Yet to be Supported (AWS Production Roadmap)</w:t>
            </w:r>
          </w:p>
        </w:tc>
      </w:tr>
      <w:tr>
        <w:tc>
          <w:tcPr>
            <w:tcW w:type="dxa" w:w="3312"/>
            <w:shd w:fill="F8FAFC"/>
          </w:tcPr>
          <w:p>
            <w:r>
              <w:t>Multi-Hospital Federation</w:t>
            </w:r>
          </w:p>
        </w:tc>
        <w:tc>
          <w:tcPr>
            <w:tcW w:type="dxa" w:w="3312"/>
          </w:tcPr>
          <w:p>
            <w:r>
              <w:t>✅ Dynamic hospital context switching across 3 facility networks with instant UI/dataset filtering.</w:t>
            </w:r>
          </w:p>
        </w:tc>
        <w:tc>
          <w:tcPr>
            <w:tcW w:type="dxa" w:w="3312"/>
          </w:tcPr>
          <w:p>
            <w:r>
              <w:t>⏳ Multi-region data residency controls &amp; cross-border compliance routing.</w:t>
            </w:r>
          </w:p>
        </w:tc>
      </w:tr>
      <w:tr>
        <w:tc>
          <w:tcPr>
            <w:tcW w:type="dxa" w:w="3312"/>
            <w:shd w:fill="F8FAFC"/>
          </w:tcPr>
          <w:p>
            <w:r>
              <w:t>Patient 360 View</w:t>
            </w:r>
          </w:p>
        </w:tc>
        <w:tc>
          <w:tcPr>
            <w:tcW w:type="dxa" w:w="3312"/>
          </w:tcPr>
          <w:p>
            <w:r>
              <w:t>✅ Timeline visualization, vitals, active diagnoses, lab trends, and clinician photo lookup.</w:t>
            </w:r>
          </w:p>
        </w:tc>
        <w:tc>
          <w:tcPr>
            <w:tcW w:type="dxa" w:w="3312"/>
          </w:tcPr>
          <w:p>
            <w:r>
              <w:t>⏳ Real-time streaming telemetry from ICU monitors &amp; wearable device integrations.</w:t>
            </w:r>
          </w:p>
        </w:tc>
      </w:tr>
      <w:tr>
        <w:tc>
          <w:tcPr>
            <w:tcW w:type="dxa" w:w="3312"/>
            <w:shd w:fill="F8FAFC"/>
          </w:tcPr>
          <w:p>
            <w:r>
              <w:t>Clinical AI Assistant</w:t>
            </w:r>
          </w:p>
        </w:tc>
        <w:tc>
          <w:tcPr>
            <w:tcW w:type="dxa" w:w="3312"/>
          </w:tcPr>
          <w:p>
            <w:r>
              <w:t>✅ 10-stage execution pipeline, single-agent SVG arrow routing, zero-shot prompt assembly, DLP PHI redaction.</w:t>
            </w:r>
          </w:p>
        </w:tc>
        <w:tc>
          <w:tcPr>
            <w:tcW w:type="dxa" w:w="3312"/>
          </w:tcPr>
          <w:p>
            <w:r>
              <w:t>⏳ Live multi-modal DICOM medical image analysis &amp; voice-to-text ambient scribe.</w:t>
            </w:r>
          </w:p>
        </w:tc>
      </w:tr>
      <w:tr>
        <w:tc>
          <w:tcPr>
            <w:tcW w:type="dxa" w:w="3312"/>
            <w:shd w:fill="F8FAFC"/>
          </w:tcPr>
          <w:p>
            <w:r>
              <w:t>Appointments Center</w:t>
            </w:r>
          </w:p>
        </w:tc>
        <w:tc>
          <w:tcPr>
            <w:tcW w:type="dxa" w:w="3312"/>
          </w:tcPr>
          <w:p>
            <w:r>
              <w:t>✅ Lightweight booking modal, automated simulated SMS &amp; Email alerts, encounter closure modal with status tracking.</w:t>
            </w:r>
          </w:p>
        </w:tc>
        <w:tc>
          <w:tcPr>
            <w:tcW w:type="dxa" w:w="3312"/>
          </w:tcPr>
          <w:p>
            <w:r>
              <w:t>⏳ Integration with Twilio Programmable SMS API and SendGrid production Email webhooks.</w:t>
            </w:r>
          </w:p>
        </w:tc>
      </w:tr>
      <w:tr>
        <w:tc>
          <w:tcPr>
            <w:tcW w:type="dxa" w:w="3312"/>
            <w:shd w:fill="F8FAFC"/>
          </w:tcPr>
          <w:p>
            <w:r>
              <w:t>Executive Dashboard</w:t>
            </w:r>
          </w:p>
        </w:tc>
        <w:tc>
          <w:tcPr>
            <w:tcW w:type="dxa" w:w="3312"/>
          </w:tcPr>
          <w:p>
            <w:r>
              <w:t>✅ 5 KPI cards (patients impacted, hours saved, cost avoidance), SVG Value Realized and AI Precision charts.</w:t>
            </w:r>
          </w:p>
        </w:tc>
        <w:tc>
          <w:tcPr>
            <w:tcW w:type="dxa" w:w="3312"/>
          </w:tcPr>
          <w:p>
            <w:r>
              <w:t>⏳ Automated weekly PDF executive report generator &amp; BI export (Tableau/QuickSight).</w:t>
            </w:r>
          </w:p>
        </w:tc>
      </w:tr>
      <w:tr>
        <w:tc>
          <w:tcPr>
            <w:tcW w:type="dxa" w:w="3312"/>
            <w:shd w:fill="F8FAFC"/>
          </w:tcPr>
          <w:p>
            <w:r>
              <w:t>Audit &amp; Compliance</w:t>
            </w:r>
          </w:p>
        </w:tc>
        <w:tc>
          <w:tcPr>
            <w:tcW w:type="dxa" w:w="3312"/>
          </w:tcPr>
          <w:p>
            <w:r>
              <w:t>✅ RBAC route guards (Admin exclusive), real-time access logs, PHI redaction event stream, security score.</w:t>
            </w:r>
          </w:p>
        </w:tc>
        <w:tc>
          <w:tcPr>
            <w:tcW w:type="dxa" w:w="3312"/>
          </w:tcPr>
          <w:p>
            <w:r>
              <w:t>⏳ Immutable blockchain audit ledger &amp; AWS CloudTrail SIEM integration.</w:t>
            </w:r>
          </w:p>
        </w:tc>
      </w:tr>
      <w:tr>
        <w:tc>
          <w:tcPr>
            <w:tcW w:type="dxa" w:w="3312"/>
            <w:shd w:fill="F8FAFC"/>
          </w:tcPr>
          <w:p>
            <w:r>
              <w:t>Backend Infrastructure</w:t>
            </w:r>
          </w:p>
        </w:tc>
        <w:tc>
          <w:tcPr>
            <w:tcW w:type="dxa" w:w="3312"/>
          </w:tcPr>
          <w:p>
            <w:r>
              <w:t>✅ Local Vite / Express Node server (`server.ts`) running synthetic FHIR JSON schemas.</w:t>
            </w:r>
          </w:p>
        </w:tc>
        <w:tc>
          <w:tcPr>
            <w:tcW w:type="dxa" w:w="3312"/>
          </w:tcPr>
          <w:p>
            <w:r>
              <w:t>⏳ AWS Cloud infrastructure (Amplify, Bedrock, HealthLake, ECS Fargate, Aurora Serverless).</w:t>
            </w:r>
          </w:p>
        </w:tc>
      </w:tr>
    </w:tbl>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