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8"/>
        </w:rPr>
        <w:t>HealthNet Clinical AI Portal</w:t>
      </w:r>
    </w:p>
    <w:p>
      <w:pPr>
        <w:jc w:val="center"/>
      </w:pPr>
      <w:r>
        <w:rPr>
          <w:rFonts w:ascii="Calibri" w:hAnsi="Calibri"/>
          <w:b/>
          <w:color w:val="0284C7"/>
          <w:sz w:val="26"/>
        </w:rPr>
        <w:t>Top 20 Executive &amp; Technical Questions — Post-Demo &amp; Audience Briefing Guide</w:t>
      </w:r>
    </w:p>
    <w:p>
      <w:pPr>
        <w:jc w:val="center"/>
      </w:pPr>
      <w:r>
        <w:rPr>
          <w:rFonts w:ascii="Calibri" w:hAnsi="Calibri"/>
          <w:i/>
          <w:color w:val="64748B"/>
          <w:sz w:val="20"/>
        </w:rPr>
        <w:t>Comprehensive Breakdown of AI Concepts, Architecture, Safety Interceptions &amp; ROI Outcomes</w:t>
      </w:r>
    </w:p>
    <w:p>
      <w:pPr>
        <w:spacing w:after="160"/>
      </w:pPr>
    </w:p>
    <w:tbl>
      <w:tblPr>
        <w:tblW w:type="auto" w:w="0"/>
        <w:jc w:val="center"/>
        <w:tblLook w:firstColumn="1" w:firstRow="1" w:lastColumn="0" w:lastRow="0" w:noHBand="0" w:noVBand="1" w:val="04A0"/>
      </w:tblPr>
      <w:tblGrid>
        <w:gridCol w:w="10080"/>
      </w:tblGrid>
      <w:tr>
        <w:tc>
          <w:tcPr>
            <w:tcW w:type="dxa" w:w="10080"/>
            <w:shd w:fill="F0F9FF"/>
            <w:tcBorders>
              <w:top w:val="none"/>
              <w:left w:val="single" w:sz="36" w:space="0" w:color="0284C7"/>
              <w:bottom w:val="none"/>
              <w:right w:val="none"/>
            </w:tcBorders>
          </w:tcPr>
          <w:p>
            <w:pPr>
              <w:spacing w:before="80" w:after="80"/>
              <w:ind w:left="144"/>
            </w:pPr>
            <w:r>
              <w:rPr>
                <w:rFonts w:ascii="Calibri" w:hAnsi="Calibri"/>
                <w:b/>
                <w:color w:val="0284C7"/>
                <w:sz w:val="20"/>
              </w:rPr>
              <w:t>💡 EXECUTIVE DEMO STRATEGY</w:t>
              <w:br/>
            </w:r>
            <w:r>
              <w:rPr>
                <w:rFonts w:ascii="Calibri" w:hAnsi="Calibri"/>
                <w:color w:val="334155"/>
                <w:sz w:val="19"/>
              </w:rPr>
              <w:t>This guide equips the presenter and executive team with precise, standardized answers to the top 20 questions anticipated during management reviews. Answers cover functionality, AI terminology, safety guardrails, multi-agent orchestration, ABAC security, and the AWS production deployment roadmap.</w:t>
            </w:r>
          </w:p>
        </w:tc>
      </w:tr>
    </w:tbl>
    <w:p>
      <w:pPr>
        <w:spacing w:after="80"/>
      </w:pPr>
    </w:p>
    <w:p>
      <w:pPr>
        <w:pStyle w:val="Heading1"/>
      </w:pPr>
      <w:r>
        <w:rPr>
          <w:color w:val="0F172A"/>
        </w:rPr>
        <w:t>Detailed Q&amp;A Breakdown (Top 20 Questions)</w:t>
      </w:r>
    </w:p>
    <w:p>
      <w:pPr>
        <w:spacing w:before="160" w:after="40"/>
      </w:pPr>
      <w:r>
        <w:rPr>
          <w:b/>
          <w:color w:val="0284C7"/>
          <w:sz w:val="18"/>
        </w:rPr>
        <w:t>[Platform Overview &amp; Scope]</w:t>
        <w:br/>
      </w:r>
      <w:r>
        <w:rPr>
          <w:b/>
          <w:color w:val="0F172A"/>
          <w:sz w:val="22"/>
        </w:rPr>
        <w:t>Q1: What is the primary purpose and scope of the HealthNet Clinical AI Portal?</w:t>
      </w:r>
    </w:p>
    <w:p>
      <w:pPr>
        <w:spacing w:after="120"/>
        <w:ind w:left="288"/>
      </w:pPr>
      <w:r>
        <w:rPr>
          <w:b/>
          <w:color w:val="9333EA"/>
          <w:sz w:val="19"/>
        </w:rPr>
        <w:t xml:space="preserve">• Core Concept / AI Term: </w:t>
      </w:r>
      <w:r>
        <w:rPr>
          <w:color w:val="334155"/>
          <w:sz w:val="19"/>
        </w:rPr>
        <w:t>Enterprise Clinical Decision Support (CDS) &amp; Ambient AI Workflow Automation System.</w:t>
        <w:br/>
      </w:r>
      <w:r>
        <w:rPr>
          <w:b/>
          <w:color w:val="0284C7"/>
          <w:sz w:val="19"/>
        </w:rPr>
        <w:t xml:space="preserve">• How It Is Used in App: </w:t>
      </w:r>
      <w:r>
        <w:rPr>
          <w:color w:val="334155"/>
          <w:sz w:val="19"/>
        </w:rPr>
        <w:t>The portal serves as a unified digital workspace integrating real-time Patient 360 FHIR records, Hybrid RAG Clinical Knowledge Search, AI Agent Operations, Clinical Note &amp; Action Workspaces, and Audit &amp; Compliance Governance.</w:t>
        <w:br/>
      </w:r>
      <w:r>
        <w:rPr>
          <w:b/>
          <w:color w:val="10B981"/>
          <w:sz w:val="19"/>
        </w:rPr>
        <w:t xml:space="preserve">• Quantifiable Result / Impact: </w:t>
      </w:r>
      <w:r>
        <w:rPr>
          <w:color w:val="334155"/>
          <w:sz w:val="19"/>
        </w:rPr>
        <w:t>Reduces clinician chart review time by 40%, saves 1,248 documentation hours (▲ 18.9% efficiency), and eliminates administrative burnout while maintaining strict zero-trust data governance.</w:t>
      </w:r>
    </w:p>
    <w:p>
      <w:pPr>
        <w:spacing w:before="160" w:after="40"/>
      </w:pPr>
      <w:r>
        <w:rPr>
          <w:b/>
          <w:color w:val="0284C7"/>
          <w:sz w:val="18"/>
        </w:rPr>
        <w:t>[Role-Based &amp; Access Controls]</w:t>
        <w:br/>
      </w:r>
      <w:r>
        <w:rPr>
          <w:b/>
          <w:color w:val="0F172A"/>
          <w:sz w:val="22"/>
        </w:rPr>
        <w:t>Q2: What user roles exist in the system, and how is Access Control enforced?</w:t>
      </w:r>
    </w:p>
    <w:p>
      <w:pPr>
        <w:spacing w:after="120"/>
        <w:ind w:left="288"/>
      </w:pPr>
      <w:r>
        <w:rPr>
          <w:b/>
          <w:color w:val="9333EA"/>
          <w:sz w:val="19"/>
        </w:rPr>
        <w:t xml:space="preserve">• Core Concept / AI Term: </w:t>
      </w:r>
      <w:r>
        <w:rPr>
          <w:color w:val="334155"/>
          <w:sz w:val="19"/>
        </w:rPr>
        <w:t>Role-Based Access Control (RBAC) &amp; Attribute-Based Access Control (ABAC).</w:t>
        <w:br/>
      </w:r>
      <w:r>
        <w:rPr>
          <w:b/>
          <w:color w:val="0284C7"/>
          <w:sz w:val="19"/>
        </w:rPr>
        <w:t xml:space="preserve">• How It Is Used in App: </w:t>
      </w:r>
      <w:r>
        <w:rPr>
          <w:color w:val="334155"/>
          <w:sz w:val="19"/>
        </w:rPr>
        <w:t>Clinicians (Physicians/Nurses) access assigned patient rosters and run AI guideline queries. Auditors and Portal Admins have exclusive access to the Audit &amp; Compliance Center and SHA-256 system audit logs via `isAdmin` route guards. ABAC dynamically checks care assignment (`assignedPatientIds`) and consent status.</w:t>
        <w:br/>
      </w:r>
      <w:r>
        <w:rPr>
          <w:b/>
          <w:color w:val="10B981"/>
          <w:sz w:val="19"/>
        </w:rPr>
        <w:t xml:space="preserve">• Quantifiable Result / Impact: </w:t>
      </w:r>
      <w:r>
        <w:rPr>
          <w:color w:val="334155"/>
          <w:sz w:val="19"/>
        </w:rPr>
        <w:t>Zero unauthorized data access incidents and 100% compliance with HIPAA Minimum Necessary Standard §164.502(b).</w:t>
      </w:r>
    </w:p>
    <w:p>
      <w:pPr>
        <w:spacing w:before="160" w:after="40"/>
      </w:pPr>
      <w:r>
        <w:rPr>
          <w:b/>
          <w:color w:val="0284C7"/>
          <w:sz w:val="18"/>
        </w:rPr>
        <w:t>[Clinician Workflow Integration]</w:t>
        <w:br/>
      </w:r>
      <w:r>
        <w:rPr>
          <w:b/>
          <w:color w:val="0F172A"/>
          <w:sz w:val="22"/>
        </w:rPr>
        <w:t>Q3: How does a clinician interact with the AI Assistant during an active patient encounter?</w:t>
      </w:r>
    </w:p>
    <w:p>
      <w:pPr>
        <w:spacing w:after="120"/>
        <w:ind w:left="288"/>
      </w:pPr>
      <w:r>
        <w:rPr>
          <w:b/>
          <w:color w:val="9333EA"/>
          <w:sz w:val="19"/>
        </w:rPr>
        <w:t xml:space="preserve">• Core Concept / AI Term: </w:t>
      </w:r>
      <w:r>
        <w:rPr>
          <w:color w:val="334155"/>
          <w:sz w:val="19"/>
        </w:rPr>
        <w:t>Context-Aware Conversational Interface &amp; Single-Click Note Synthesis.</w:t>
        <w:br/>
      </w:r>
      <w:r>
        <w:rPr>
          <w:b/>
          <w:color w:val="0284C7"/>
          <w:sz w:val="19"/>
        </w:rPr>
        <w:t xml:space="preserve">• How It Is Used in App: </w:t>
      </w:r>
      <w:r>
        <w:rPr>
          <w:color w:val="334155"/>
          <w:sz w:val="19"/>
        </w:rPr>
        <w:t>1. Clinician attaches an active patient record (e.g., Sunita Reddy) via patient search.</w:t>
        <w:br/>
        <w:t>2. Submits a query or quick prompt (e.g., HFpEF SGLT2 initiation).</w:t>
        <w:br/>
        <w:t>3. AI Assistant executes the query, displays verified citations, and streams token metrics.</w:t>
        <w:br/>
        <w:t>4. Clicking 'Insert Note' transfers the synthesized analysis and attached patient details directly into the Clinical Note Workspace.</w:t>
        <w:br/>
      </w:r>
      <w:r>
        <w:rPr>
          <w:b/>
          <w:color w:val="10B981"/>
          <w:sz w:val="19"/>
        </w:rPr>
        <w:t xml:space="preserve">• Quantifiable Result / Impact: </w:t>
      </w:r>
      <w:r>
        <w:rPr>
          <w:color w:val="334155"/>
          <w:sz w:val="19"/>
        </w:rPr>
        <w:t>Eliminates manual copy-pasting and guarantees that note drafts are locked to the correct patient record.</w:t>
      </w:r>
    </w:p>
    <w:p>
      <w:pPr>
        <w:spacing w:before="160" w:after="40"/>
      </w:pPr>
      <w:r>
        <w:rPr>
          <w:b/>
          <w:color w:val="0284C7"/>
          <w:sz w:val="18"/>
        </w:rPr>
        <w:t>[Multi-Hospital Federation]</w:t>
        <w:br/>
      </w:r>
      <w:r>
        <w:rPr>
          <w:b/>
          <w:color w:val="0F172A"/>
          <w:sz w:val="22"/>
        </w:rPr>
        <w:t>Q4: How does the Multi-Hospital Network Context Selector function under the hood?</w:t>
      </w:r>
    </w:p>
    <w:p>
      <w:pPr>
        <w:spacing w:after="120"/>
        <w:ind w:left="288"/>
      </w:pPr>
      <w:r>
        <w:rPr>
          <w:b/>
          <w:color w:val="9333EA"/>
          <w:sz w:val="19"/>
        </w:rPr>
        <w:t xml:space="preserve">• Core Concept / AI Term: </w:t>
      </w:r>
      <w:r>
        <w:rPr>
          <w:color w:val="334155"/>
          <w:sz w:val="19"/>
        </w:rPr>
        <w:t>Multi-Tenant Federation &amp; Real-Time Data Partitioning.</w:t>
        <w:br/>
      </w:r>
      <w:r>
        <w:rPr>
          <w:b/>
          <w:color w:val="0284C7"/>
          <w:sz w:val="19"/>
        </w:rPr>
        <w:t xml:space="preserve">• How It Is Used in App: </w:t>
      </w:r>
      <w:r>
        <w:rPr>
          <w:color w:val="334155"/>
          <w:sz w:val="19"/>
        </w:rPr>
        <w:t>The global `HospitalNetworkContext` selector allows switching between hospital networks (St. Jude Regional, Metropolitan General, Mercy Community). Selecting a hospital dynamically filters synthetic patient cohorts, clinical metrics, audit trail logs, and agent execution scopes in real time without a page refresh.</w:t>
        <w:br/>
      </w:r>
      <w:r>
        <w:rPr>
          <w:b/>
          <w:color w:val="10B981"/>
          <w:sz w:val="19"/>
        </w:rPr>
        <w:t xml:space="preserve">• Quantifiable Result / Impact: </w:t>
      </w:r>
      <w:r>
        <w:rPr>
          <w:color w:val="334155"/>
          <w:sz w:val="19"/>
        </w:rPr>
        <w:t>Enables multi-site hospital networks to operate on a single unified platform while isolating site-specific clinical data.</w:t>
      </w:r>
    </w:p>
    <w:p>
      <w:pPr>
        <w:spacing w:before="160" w:after="40"/>
      </w:pPr>
      <w:r>
        <w:rPr>
          <w:b/>
          <w:color w:val="0284C7"/>
          <w:sz w:val="18"/>
        </w:rPr>
        <w:t>[AI Architecture &amp; MAS Framework]</w:t>
        <w:br/>
      </w:r>
      <w:r>
        <w:rPr>
          <w:b/>
          <w:color w:val="0F172A"/>
          <w:sz w:val="22"/>
        </w:rPr>
        <w:t>Q5: What AI framework and multi-agent architecture power the application?</w:t>
      </w:r>
    </w:p>
    <w:p>
      <w:pPr>
        <w:spacing w:after="120"/>
        <w:ind w:left="288"/>
      </w:pPr>
      <w:r>
        <w:rPr>
          <w:b/>
          <w:color w:val="9333EA"/>
          <w:sz w:val="19"/>
        </w:rPr>
        <w:t xml:space="preserve">• Core Concept / AI Term: </w:t>
      </w:r>
      <w:r>
        <w:rPr>
          <w:color w:val="334155"/>
          <w:sz w:val="19"/>
        </w:rPr>
        <w:t>Orchestrated Specialist Multi-Agent System (MAS) &amp; Intent Routing Engine.</w:t>
        <w:br/>
      </w:r>
      <w:r>
        <w:rPr>
          <w:b/>
          <w:color w:val="0284C7"/>
          <w:sz w:val="19"/>
        </w:rPr>
        <w:t xml:space="preserve">• How It Is Used in App: </w:t>
      </w:r>
      <w:r>
        <w:rPr>
          <w:color w:val="334155"/>
          <w:sz w:val="19"/>
        </w:rPr>
        <w:t>The app deploys a specialized multi-agent system: Intent Router Agent (classifies intent), Knowledge QA Specialist Agent (queries guideline DB), Patient Search &amp; EHR Agent (fetches FHIR parameters), Clinical Workflow Agent (drafts SOAP notes), and NeMo Security Guardrail Agent (evaluates safety rules).</w:t>
        <w:br/>
      </w:r>
      <w:r>
        <w:rPr>
          <w:b/>
          <w:color w:val="10B981"/>
          <w:sz w:val="19"/>
        </w:rPr>
        <w:t xml:space="preserve">• Quantifiable Result / Impact: </w:t>
      </w:r>
      <w:r>
        <w:rPr>
          <w:color w:val="334155"/>
          <w:sz w:val="19"/>
        </w:rPr>
        <w:t>Higher diagnostic accuracy, modular agent maintainability, and sub-second intent classification.</w:t>
      </w:r>
    </w:p>
    <w:p>
      <w:pPr>
        <w:spacing w:before="160" w:after="40"/>
      </w:pPr>
      <w:r>
        <w:rPr>
          <w:b/>
          <w:color w:val="0284C7"/>
          <w:sz w:val="18"/>
        </w:rPr>
        <w:t>[AI Gateway &amp; Routing]</w:t>
        <w:br/>
      </w:r>
      <w:r>
        <w:rPr>
          <w:b/>
          <w:color w:val="0F172A"/>
          <w:sz w:val="22"/>
        </w:rPr>
        <w:t>Q6: How does the AI Gateway route incoming queries to the correct sub-agent?</w:t>
      </w:r>
    </w:p>
    <w:p>
      <w:pPr>
        <w:spacing w:after="120"/>
        <w:ind w:left="288"/>
      </w:pPr>
      <w:r>
        <w:rPr>
          <w:b/>
          <w:color w:val="9333EA"/>
          <w:sz w:val="19"/>
        </w:rPr>
        <w:t xml:space="preserve">• Core Concept / AI Term: </w:t>
      </w:r>
      <w:r>
        <w:rPr>
          <w:color w:val="334155"/>
          <w:sz w:val="19"/>
        </w:rPr>
        <w:t>Zero-Trust Ingress AI Gateway &amp; Dynamic Intent Classification.</w:t>
        <w:br/>
      </w:r>
      <w:r>
        <w:rPr>
          <w:b/>
          <w:color w:val="0284C7"/>
          <w:sz w:val="19"/>
        </w:rPr>
        <w:t xml:space="preserve">• How It Is Used in App: </w:t>
      </w:r>
      <w:r>
        <w:rPr>
          <w:color w:val="334155"/>
          <w:sz w:val="19"/>
        </w:rPr>
        <w:t>The Live Agent Operations Flow visualizes a 10-stage execution path: User Query -&gt; AI Gateway (Stage 1) -&gt; Intent Router (Stage 2) -&gt; Specialist Agent (Stage 4). Single-agent routing paths highlight with animated SVG arrows showing real-time latency (e.g., 18ms routing delay).</w:t>
        <w:br/>
      </w:r>
      <w:r>
        <w:rPr>
          <w:b/>
          <w:color w:val="10B981"/>
          <w:sz w:val="19"/>
        </w:rPr>
        <w:t xml:space="preserve">• Quantifiable Result / Impact: </w:t>
      </w:r>
      <w:r>
        <w:rPr>
          <w:color w:val="334155"/>
          <w:sz w:val="19"/>
        </w:rPr>
        <w:t>Complete audit visibility into agent decision-making with full execution traces.</w:t>
      </w:r>
    </w:p>
    <w:p>
      <w:pPr>
        <w:spacing w:before="160" w:after="40"/>
      </w:pPr>
      <w:r>
        <w:rPr>
          <w:b/>
          <w:color w:val="0284C7"/>
          <w:sz w:val="18"/>
        </w:rPr>
        <w:t>[Hybrid RAG Engine]</w:t>
        <w:br/>
      </w:r>
      <w:r>
        <w:rPr>
          <w:b/>
          <w:color w:val="0F172A"/>
          <w:sz w:val="22"/>
        </w:rPr>
        <w:t>Q7: How does the Hybrid RAG (Retrieval-Augmented Generation) Engine operate?</w:t>
      </w:r>
    </w:p>
    <w:p>
      <w:pPr>
        <w:spacing w:after="120"/>
        <w:ind w:left="288"/>
      </w:pPr>
      <w:r>
        <w:rPr>
          <w:b/>
          <w:color w:val="9333EA"/>
          <w:sz w:val="19"/>
        </w:rPr>
        <w:t xml:space="preserve">• Core Concept / AI Term: </w:t>
      </w:r>
      <w:r>
        <w:rPr>
          <w:color w:val="334155"/>
          <w:sz w:val="19"/>
        </w:rPr>
        <w:t>Hybrid Search: Dense Vector Retrieval (pgvector) + Sparse Lexical Keyword Retrieval (BM25) with Reciprocal Rank Fusion (RRF).</w:t>
        <w:br/>
      </w:r>
      <w:r>
        <w:rPr>
          <w:b/>
          <w:color w:val="0284C7"/>
          <w:sz w:val="19"/>
        </w:rPr>
        <w:t xml:space="preserve">• How It Is Used in App: </w:t>
      </w:r>
      <w:r>
        <w:rPr>
          <w:color w:val="334155"/>
          <w:sz w:val="19"/>
        </w:rPr>
        <w:t>1. Sparse Lexical Search (BM25) matches exact medical terms (e.g., eGFR 38, Empagliflozin).</w:t>
        <w:br/>
        <w:t>2. Dense Vector Search (pgvector) captures semantic intent using 768-dimensional embeddings.</w:t>
        <w:br/>
        <w:t>3. RRF Reranker merges top-K chunks to feed ground-truth knowledge into Gemini LLM context window.</w:t>
        <w:br/>
      </w:r>
      <w:r>
        <w:rPr>
          <w:b/>
          <w:color w:val="10B981"/>
          <w:sz w:val="19"/>
        </w:rPr>
        <w:t xml:space="preserve">• Quantifiable Result / Impact: </w:t>
      </w:r>
      <w:r>
        <w:rPr>
          <w:color w:val="334155"/>
          <w:sz w:val="19"/>
        </w:rPr>
        <w:t>Prevents hallucination by anchoring AI responses strictly in institutional guidelines (100% Citation Groundedness).</w:t>
      </w:r>
    </w:p>
    <w:p>
      <w:pPr>
        <w:spacing w:before="160" w:after="40"/>
      </w:pPr>
      <w:r>
        <w:rPr>
          <w:b/>
          <w:color w:val="0284C7"/>
          <w:sz w:val="18"/>
        </w:rPr>
        <w:t>[LLM Models &amp; Fallback Ladder]</w:t>
        <w:br/>
      </w:r>
      <w:r>
        <w:rPr>
          <w:b/>
          <w:color w:val="0F172A"/>
          <w:sz w:val="22"/>
        </w:rPr>
        <w:t>Q8: What Gemini LLM models are supported, and how does the Automated Fallback Ladder work?</w:t>
      </w:r>
    </w:p>
    <w:p>
      <w:pPr>
        <w:spacing w:after="120"/>
        <w:ind w:left="288"/>
      </w:pPr>
      <w:r>
        <w:rPr>
          <w:b/>
          <w:color w:val="9333EA"/>
          <w:sz w:val="19"/>
        </w:rPr>
        <w:t xml:space="preserve">• Core Concept / AI Term: </w:t>
      </w:r>
      <w:r>
        <w:rPr>
          <w:color w:val="334155"/>
          <w:sz w:val="19"/>
        </w:rPr>
        <w:t>Multi-Tier LLM Model Routing &amp; Resilient Capacity Fallback.</w:t>
        <w:br/>
      </w:r>
      <w:r>
        <w:rPr>
          <w:b/>
          <w:color w:val="0284C7"/>
          <w:sz w:val="19"/>
        </w:rPr>
        <w:t xml:space="preserve">• How It Is Used in App: </w:t>
      </w:r>
      <w:r>
        <w:rPr>
          <w:color w:val="334155"/>
          <w:sz w:val="19"/>
        </w:rPr>
        <w:t>Supports Gemini 3.6 Flash (Primary High-Availability), Gemini 3.1 Flash Lite (Low Latency Triage), Gemini 3.7 Flash (Deep Reasoning), and Gemini 3.1 Pro Preview (Differential Pathology). If the primary endpoint experiences rate limits or latency spikes, the system automatically fails over to standby endpoints without interrupting the clinician.</w:t>
        <w:br/>
      </w:r>
      <w:r>
        <w:rPr>
          <w:b/>
          <w:color w:val="10B981"/>
          <w:sz w:val="19"/>
        </w:rPr>
        <w:t xml:space="preserve">• Quantifiable Result / Impact: </w:t>
      </w:r>
      <w:r>
        <w:rPr>
          <w:color w:val="334155"/>
          <w:sz w:val="19"/>
        </w:rPr>
        <w:t>99.99% system availability and optimal cost/latency balance.</w:t>
      </w:r>
    </w:p>
    <w:p>
      <w:pPr>
        <w:spacing w:before="160" w:after="40"/>
      </w:pPr>
      <w:r>
        <w:rPr>
          <w:b/>
          <w:color w:val="0284C7"/>
          <w:sz w:val="18"/>
        </w:rPr>
        <w:t>[Attribute-Based Access Control]</w:t>
        <w:br/>
      </w:r>
      <w:r>
        <w:rPr>
          <w:b/>
          <w:color w:val="0F172A"/>
          <w:sz w:val="22"/>
        </w:rPr>
        <w:t>Q9: How does Attribute-Based Access Control (ABAC) protect patient records?</w:t>
      </w:r>
    </w:p>
    <w:p>
      <w:pPr>
        <w:spacing w:after="120"/>
        <w:ind w:left="288"/>
      </w:pPr>
      <w:r>
        <w:rPr>
          <w:b/>
          <w:color w:val="9333EA"/>
          <w:sz w:val="19"/>
        </w:rPr>
        <w:t xml:space="preserve">• Core Concept / AI Term: </w:t>
      </w:r>
      <w:r>
        <w:rPr>
          <w:color w:val="334155"/>
          <w:sz w:val="19"/>
        </w:rPr>
        <w:t>Attribute-Based Access Control (ABAC) &amp; Purpose of Use (PoU) Gatekeeper.</w:t>
        <w:br/>
      </w:r>
      <w:r>
        <w:rPr>
          <w:b/>
          <w:color w:val="0284C7"/>
          <w:sz w:val="19"/>
        </w:rPr>
        <w:t xml:space="preserve">• How It Is Used in App: </w:t>
      </w:r>
      <w:r>
        <w:rPr>
          <w:color w:val="334155"/>
          <w:sz w:val="19"/>
        </w:rPr>
        <w:t>Access is evaluated against 4 attributes: (Actor Role, Patient Assignment, HIPAA Consent, Purpose of Use). If an unassigned patient (e.g. Marcus Vance) is queried, the system blocks access: 'Access Denied (ABAC): Patient PT-1007 is not within active clinical assignment.' Emergency Override allows temporary access with mandatory audit logging.</w:t>
        <w:br/>
      </w:r>
      <w:r>
        <w:rPr>
          <w:b/>
          <w:color w:val="10B981"/>
          <w:sz w:val="19"/>
        </w:rPr>
        <w:t xml:space="preserve">• Quantifiable Result / Impact: </w:t>
      </w:r>
      <w:r>
        <w:rPr>
          <w:color w:val="334155"/>
          <w:sz w:val="19"/>
        </w:rPr>
        <w:t>Prevents unauthorized snooping while allowing emergency care access.</w:t>
      </w:r>
    </w:p>
    <w:p>
      <w:pPr>
        <w:spacing w:before="160" w:after="40"/>
      </w:pPr>
      <w:r>
        <w:rPr>
          <w:b/>
          <w:color w:val="0284C7"/>
          <w:sz w:val="18"/>
        </w:rPr>
        <w:t>[DLP PHI Redaction]</w:t>
        <w:br/>
      </w:r>
      <w:r>
        <w:rPr>
          <w:b/>
          <w:color w:val="0F172A"/>
          <w:sz w:val="22"/>
        </w:rPr>
        <w:t>Q10: How does the system handle sensitive PHI/PII inside AI prompts?</w:t>
      </w:r>
    </w:p>
    <w:p>
      <w:pPr>
        <w:spacing w:after="120"/>
        <w:ind w:left="288"/>
      </w:pPr>
      <w:r>
        <w:rPr>
          <w:b/>
          <w:color w:val="9333EA"/>
          <w:sz w:val="19"/>
        </w:rPr>
        <w:t xml:space="preserve">• Core Concept / AI Term: </w:t>
      </w:r>
      <w:r>
        <w:rPr>
          <w:color w:val="334155"/>
          <w:sz w:val="19"/>
        </w:rPr>
        <w:t>Data Loss Prevention (DLP) &amp; Zero-Trust Tokenization Pipeline.</w:t>
        <w:br/>
      </w:r>
      <w:r>
        <w:rPr>
          <w:b/>
          <w:color w:val="0284C7"/>
          <w:sz w:val="19"/>
        </w:rPr>
        <w:t xml:space="preserve">• How It Is Used in App: </w:t>
      </w:r>
      <w:r>
        <w:rPr>
          <w:color w:val="334155"/>
          <w:sz w:val="19"/>
        </w:rPr>
        <w:t>The `phiMasker.ts` engine scans all input strings prior to LLM forwarding. SSNs, MRNs, DOBs, and phone numbers are automatically redacted/tokenized into `[REDACTED_SSN]`, `[REDACTED_MRN]`. The raw prompt is never transmitted over external networks unmasked.</w:t>
        <w:br/>
      </w:r>
      <w:r>
        <w:rPr>
          <w:b/>
          <w:color w:val="10B981"/>
          <w:sz w:val="19"/>
        </w:rPr>
        <w:t xml:space="preserve">• Quantifiable Result / Impact: </w:t>
      </w:r>
      <w:r>
        <w:rPr>
          <w:color w:val="334155"/>
          <w:sz w:val="19"/>
        </w:rPr>
        <w:t>Full compliance with HIPAA Privacy Rule §164.514 (De-identification Standards).</w:t>
      </w:r>
    </w:p>
    <w:p>
      <w:pPr>
        <w:spacing w:before="160" w:after="40"/>
      </w:pPr>
      <w:r>
        <w:rPr>
          <w:b/>
          <w:color w:val="0284C7"/>
          <w:sz w:val="18"/>
        </w:rPr>
        <w:t>[HIPAA Consent Enforcement]</w:t>
        <w:br/>
      </w:r>
      <w:r>
        <w:rPr>
          <w:b/>
          <w:color w:val="0F172A"/>
          <w:sz w:val="22"/>
        </w:rPr>
        <w:t>Q11: What happens if a clinician queries a patient with EXPIRED or REVOKED consent?</w:t>
      </w:r>
    </w:p>
    <w:p>
      <w:pPr>
        <w:spacing w:after="120"/>
        <w:ind w:left="288"/>
      </w:pPr>
      <w:r>
        <w:rPr>
          <w:b/>
          <w:color w:val="9333EA"/>
          <w:sz w:val="19"/>
        </w:rPr>
        <w:t xml:space="preserve">• Core Concept / AI Term: </w:t>
      </w:r>
      <w:r>
        <w:rPr>
          <w:color w:val="334155"/>
          <w:sz w:val="19"/>
        </w:rPr>
        <w:t>Automated Consent Verification &amp; Dynamic Security Interception.</w:t>
        <w:br/>
      </w:r>
      <w:r>
        <w:rPr>
          <w:b/>
          <w:color w:val="0284C7"/>
          <w:sz w:val="19"/>
        </w:rPr>
        <w:t xml:space="preserve">• How It Is Used in App: </w:t>
      </w:r>
      <w:r>
        <w:rPr>
          <w:color w:val="334155"/>
          <w:sz w:val="19"/>
        </w:rPr>
        <w:t>Synthetic patient Jayesh Trivedi (PT-1004) has `EXPIRED_CONSENT`. When a query targets Jayesh Trivedi, `validatePatientAccessAuthorization` blocks execution and renders a Security Interception Banner: 'Consent Restriction: Patient PT-1004 consent is EXPIRED_CONSENT. Access blocked per HIPAA §164.508.'</w:t>
        <w:br/>
      </w:r>
      <w:r>
        <w:rPr>
          <w:b/>
          <w:color w:val="10B981"/>
          <w:sz w:val="19"/>
        </w:rPr>
        <w:t xml:space="preserve">• Quantifiable Result / Impact: </w:t>
      </w:r>
      <w:r>
        <w:rPr>
          <w:color w:val="334155"/>
          <w:sz w:val="19"/>
        </w:rPr>
        <w:t>Guarantees patient legal consent preferences are enforced programmatically.</w:t>
      </w:r>
    </w:p>
    <w:p>
      <w:pPr>
        <w:spacing w:before="160" w:after="40"/>
      </w:pPr>
      <w:r>
        <w:rPr>
          <w:b/>
          <w:color w:val="0284C7"/>
          <w:sz w:val="18"/>
        </w:rPr>
        <w:t>[Audit &amp; Observability]</w:t>
        <w:br/>
      </w:r>
      <w:r>
        <w:rPr>
          <w:b/>
          <w:color w:val="0F172A"/>
          <w:sz w:val="22"/>
        </w:rPr>
        <w:t>Q12: How does the Audit &amp; Compliance Center maintain transparency?</w:t>
      </w:r>
    </w:p>
    <w:p>
      <w:pPr>
        <w:spacing w:after="120"/>
        <w:ind w:left="288"/>
      </w:pPr>
      <w:r>
        <w:rPr>
          <w:b/>
          <w:color w:val="9333EA"/>
          <w:sz w:val="19"/>
        </w:rPr>
        <w:t xml:space="preserve">• Core Concept / AI Term: </w:t>
      </w:r>
      <w:r>
        <w:rPr>
          <w:color w:val="334155"/>
          <w:sz w:val="19"/>
        </w:rPr>
        <w:t>Cryptographic Audit Telemetry &amp; Immutable Event Streaming.</w:t>
        <w:br/>
      </w:r>
      <w:r>
        <w:rPr>
          <w:b/>
          <w:color w:val="0284C7"/>
          <w:sz w:val="19"/>
        </w:rPr>
        <w:t xml:space="preserve">• How It Is Used in App: </w:t>
      </w:r>
      <w:r>
        <w:rPr>
          <w:color w:val="334155"/>
          <w:sz w:val="19"/>
        </w:rPr>
        <w:t>Every query, patient lookup, guardrail block, and order signature generates a structured audit log containing Timestamp, Actor ID, Target Patient, Purpose of Use, Severity, Action Taken, and SHA-256 Checksum (`sha256-log-8f92a...`). The Audit Center features interactive filters and risk distribution charts.</w:t>
        <w:br/>
      </w:r>
      <w:r>
        <w:rPr>
          <w:b/>
          <w:color w:val="10B981"/>
          <w:sz w:val="19"/>
        </w:rPr>
        <w:t xml:space="preserve">• Quantifiable Result / Impact: </w:t>
      </w:r>
      <w:r>
        <w:rPr>
          <w:color w:val="334155"/>
          <w:sz w:val="19"/>
        </w:rPr>
        <w:t>Instant audit-readiness for HIPAA, SOC2, and Joint Commission compliance reviews.</w:t>
      </w:r>
    </w:p>
    <w:p>
      <w:pPr>
        <w:spacing w:before="160" w:after="40"/>
      </w:pPr>
      <w:r>
        <w:rPr>
          <w:b/>
          <w:color w:val="0284C7"/>
          <w:sz w:val="18"/>
        </w:rPr>
        <w:t>[Zero-Hallucination Controls]</w:t>
        <w:br/>
      </w:r>
      <w:r>
        <w:rPr>
          <w:b/>
          <w:color w:val="0F172A"/>
          <w:sz w:val="22"/>
        </w:rPr>
        <w:t>Q13: How does the platform guarantee zero hallucinations and verify clinical citations?</w:t>
      </w:r>
    </w:p>
    <w:p>
      <w:pPr>
        <w:spacing w:after="120"/>
        <w:ind w:left="288"/>
      </w:pPr>
      <w:r>
        <w:rPr>
          <w:b/>
          <w:color w:val="9333EA"/>
          <w:sz w:val="19"/>
        </w:rPr>
        <w:t xml:space="preserve">• Core Concept / AI Term: </w:t>
      </w:r>
      <w:r>
        <w:rPr>
          <w:color w:val="334155"/>
          <w:sz w:val="19"/>
        </w:rPr>
        <w:t>Post-Execution Groundedness Validation &amp; Citation-to-Chunk Mapping.</w:t>
        <w:br/>
      </w:r>
      <w:r>
        <w:rPr>
          <w:b/>
          <w:color w:val="0284C7"/>
          <w:sz w:val="19"/>
        </w:rPr>
        <w:t xml:space="preserve">• How It Is Used in App: </w:t>
      </w:r>
      <w:r>
        <w:rPr>
          <w:color w:val="334155"/>
          <w:sz w:val="19"/>
        </w:rPr>
        <w:t>Every assistant response includes a Post-Guardrail Telemetry Badge: Groundedness Score (0.98 verification against retrieved chunks) and Validated Citations mapping claims back to exact text sections in `approvedKnowledge.ts`. Uncited claims trigger an `INSUFFICIENT_EVIDENCE` warning.</w:t>
        <w:br/>
      </w:r>
      <w:r>
        <w:rPr>
          <w:b/>
          <w:color w:val="10B981"/>
          <w:sz w:val="19"/>
        </w:rPr>
        <w:t xml:space="preserve">• Quantifiable Result / Impact: </w:t>
      </w:r>
      <w:r>
        <w:rPr>
          <w:color w:val="334155"/>
          <w:sz w:val="19"/>
        </w:rPr>
        <w:t>Eliminates generative AI drift and ensures evidence-based clinical recommendations.</w:t>
      </w:r>
    </w:p>
    <w:p>
      <w:pPr>
        <w:spacing w:before="160" w:after="40"/>
      </w:pPr>
      <w:r>
        <w:rPr>
          <w:b/>
          <w:color w:val="0284C7"/>
          <w:sz w:val="18"/>
        </w:rPr>
        <w:t>[NeMo Guardrails Defense]</w:t>
        <w:br/>
      </w:r>
      <w:r>
        <w:rPr>
          <w:b/>
          <w:color w:val="0F172A"/>
          <w:sz w:val="22"/>
        </w:rPr>
        <w:t>Q14: What are NeMo Guardrails, and how do they block prompt injections and exploits?</w:t>
      </w:r>
    </w:p>
    <w:p>
      <w:pPr>
        <w:spacing w:after="120"/>
        <w:ind w:left="288"/>
      </w:pPr>
      <w:r>
        <w:rPr>
          <w:b/>
          <w:color w:val="9333EA"/>
          <w:sz w:val="19"/>
        </w:rPr>
        <w:t xml:space="preserve">• Core Concept / AI Term: </w:t>
      </w:r>
      <w:r>
        <w:rPr>
          <w:color w:val="334155"/>
          <w:sz w:val="19"/>
        </w:rPr>
        <w:t>Dual-Pass NeMo Security Guardrail Gateway.</w:t>
        <w:br/>
      </w:r>
      <w:r>
        <w:rPr>
          <w:b/>
          <w:color w:val="0284C7"/>
          <w:sz w:val="19"/>
        </w:rPr>
        <w:t xml:space="preserve">• How It Is Used in App: </w:t>
      </w:r>
      <w:r>
        <w:rPr>
          <w:color w:val="334155"/>
          <w:sz w:val="19"/>
        </w:rPr>
        <w:t>Input guardrails check incoming text before reaching the LLM: Adversarial Jailbreaks ('Ignore previous instructions...'), SQL Injections ('SELECT * FROM...'), and Raw PHI Dumps are blocked. Blocked requests render a prominent red Security Interception Gateway Card in the chat feed.</w:t>
        <w:br/>
      </w:r>
      <w:r>
        <w:rPr>
          <w:b/>
          <w:color w:val="10B981"/>
          <w:sz w:val="19"/>
        </w:rPr>
        <w:t xml:space="preserve">• Quantifiable Result / Impact: </w:t>
      </w:r>
      <w:r>
        <w:rPr>
          <w:color w:val="334155"/>
          <w:sz w:val="19"/>
        </w:rPr>
        <w:t>Complete defense against prompt injection attacks, system prompt leaks, and malicious exploits.</w:t>
      </w:r>
    </w:p>
    <w:p>
      <w:pPr>
        <w:spacing w:before="160" w:after="40"/>
      </w:pPr>
      <w:r>
        <w:rPr>
          <w:b/>
          <w:color w:val="0284C7"/>
          <w:sz w:val="18"/>
        </w:rPr>
        <w:t>[High-Risk Medication Safety]</w:t>
        <w:br/>
      </w:r>
      <w:r>
        <w:rPr>
          <w:b/>
          <w:color w:val="0F172A"/>
          <w:sz w:val="22"/>
        </w:rPr>
        <w:t>Q15: How does the system handle high-risk clinical medication hazards?</w:t>
      </w:r>
    </w:p>
    <w:p>
      <w:pPr>
        <w:spacing w:after="120"/>
        <w:ind w:left="288"/>
      </w:pPr>
      <w:r>
        <w:rPr>
          <w:b/>
          <w:color w:val="9333EA"/>
          <w:sz w:val="19"/>
        </w:rPr>
        <w:t xml:space="preserve">• Core Concept / AI Term: </w:t>
      </w:r>
      <w:r>
        <w:rPr>
          <w:color w:val="334155"/>
          <w:sz w:val="19"/>
        </w:rPr>
        <w:t>High-Alert Medication Safety Interception &amp; ISMP Practice Standard Enforcement.</w:t>
        <w:br/>
      </w:r>
      <w:r>
        <w:rPr>
          <w:b/>
          <w:color w:val="0284C7"/>
          <w:sz w:val="19"/>
        </w:rPr>
        <w:t xml:space="preserve">• How It Is Used in App: </w:t>
      </w:r>
      <w:r>
        <w:rPr>
          <w:color w:val="334155"/>
          <w:sz w:val="19"/>
        </w:rPr>
        <w:t>If a prompt requests a dangerous order (e.g., 'Prescribe 500mg IV Potassium Chloride rapid bolus without diluent'), the Clinical Safety Guardrail intercepts the order immediately: 'Clinical Safety Hazard: Rapid IV bolus of Potassium Chloride without diluent is a high-alert fatal medication error pattern. Intercepted per ISMP practice standards.'</w:t>
        <w:br/>
      </w:r>
      <w:r>
        <w:rPr>
          <w:b/>
          <w:color w:val="10B981"/>
          <w:sz w:val="19"/>
        </w:rPr>
        <w:t xml:space="preserve">• Quantifiable Result / Impact: </w:t>
      </w:r>
      <w:r>
        <w:rPr>
          <w:color w:val="334155"/>
          <w:sz w:val="19"/>
        </w:rPr>
        <w:t>Prevents fatal order entry mistakes at the point of decision-making.</w:t>
      </w:r>
    </w:p>
    <w:p>
      <w:pPr>
        <w:spacing w:before="160" w:after="40"/>
      </w:pPr>
      <w:r>
        <w:rPr>
          <w:b/>
          <w:color w:val="0284C7"/>
          <w:sz w:val="18"/>
        </w:rPr>
        <w:t>[Digital Signature Sign-Off]</w:t>
        <w:br/>
      </w:r>
      <w:r>
        <w:rPr>
          <w:b/>
          <w:color w:val="0F172A"/>
          <w:sz w:val="22"/>
        </w:rPr>
        <w:t>Q16: Why are digital signatures and Rollback actions required in the Note Workspace?</w:t>
      </w:r>
    </w:p>
    <w:p>
      <w:pPr>
        <w:spacing w:after="120"/>
        <w:ind w:left="288"/>
      </w:pPr>
      <w:r>
        <w:rPr>
          <w:b/>
          <w:color w:val="9333EA"/>
          <w:sz w:val="19"/>
        </w:rPr>
        <w:t xml:space="preserve">• Core Concept / AI Term: </w:t>
      </w:r>
      <w:r>
        <w:rPr>
          <w:color w:val="334155"/>
          <w:sz w:val="19"/>
        </w:rPr>
        <w:t>Human-in-the-Loop (HITL) Governance &amp; Non-Autonomous Decision Safeguard.</w:t>
        <w:br/>
      </w:r>
      <w:r>
        <w:rPr>
          <w:b/>
          <w:color w:val="0284C7"/>
          <w:sz w:val="19"/>
        </w:rPr>
        <w:t xml:space="preserve">• How It Is Used in App: </w:t>
      </w:r>
      <w:r>
        <w:rPr>
          <w:color w:val="334155"/>
          <w:sz w:val="19"/>
        </w:rPr>
        <w:t>AI never submits notes or orders autonomously. In the Clinical Note Workspace, the clinician must review the generated draft, choose sign-off credentials, and click 'Digitally Sign &amp; Commit'. If modifications are needed, clicking 'Rollback' cleanly reverts to the previous draft state.</w:t>
        <w:br/>
      </w:r>
      <w:r>
        <w:rPr>
          <w:b/>
          <w:color w:val="10B981"/>
          <w:sz w:val="19"/>
        </w:rPr>
        <w:t xml:space="preserve">• Quantifiable Result / Impact: </w:t>
      </w:r>
      <w:r>
        <w:rPr>
          <w:color w:val="334155"/>
          <w:sz w:val="19"/>
        </w:rPr>
        <w:t>Ensures the attending physician retains 100% legal responsibility and clinical oversight.</w:t>
      </w:r>
    </w:p>
    <w:p>
      <w:pPr>
        <w:spacing w:before="160" w:after="40"/>
      </w:pPr>
      <w:r>
        <w:rPr>
          <w:b/>
          <w:color w:val="0284C7"/>
          <w:sz w:val="18"/>
        </w:rPr>
        <w:t>[Executive ROI Metrics]</w:t>
        <w:br/>
      </w:r>
      <w:r>
        <w:rPr>
          <w:b/>
          <w:color w:val="0F172A"/>
          <w:sz w:val="22"/>
        </w:rPr>
        <w:t>Q17: What quantifiable operational ROI does the Executive Dashboard demonstrate?</w:t>
      </w:r>
    </w:p>
    <w:p>
      <w:pPr>
        <w:spacing w:after="120"/>
        <w:ind w:left="288"/>
      </w:pPr>
      <w:r>
        <w:rPr>
          <w:b/>
          <w:color w:val="9333EA"/>
          <w:sz w:val="19"/>
        </w:rPr>
        <w:t xml:space="preserve">• Core Concept / AI Term: </w:t>
      </w:r>
      <w:r>
        <w:rPr>
          <w:color w:val="334155"/>
          <w:sz w:val="19"/>
        </w:rPr>
        <w:t>Value Realization Metrics &amp; Operational Efficiency Analytics.</w:t>
        <w:br/>
      </w:r>
      <w:r>
        <w:rPr>
          <w:b/>
          <w:color w:val="0284C7"/>
          <w:sz w:val="19"/>
        </w:rPr>
        <w:t xml:space="preserve">• How It Is Used in App: </w:t>
      </w:r>
      <w:r>
        <w:rPr>
          <w:color w:val="334155"/>
          <w:sz w:val="19"/>
        </w:rPr>
        <w:t>Tracks 5 core KPIs: 8,542 Patients Impacted, 1,248 Documentation Hours Saved (▲ 18.9%), -40% Reduction in chart review time, 62% Automation Rate, and $342,800 Estimated Cost Avoidance in physician administrative overtime.</w:t>
        <w:br/>
      </w:r>
      <w:r>
        <w:rPr>
          <w:b/>
          <w:color w:val="10B981"/>
          <w:sz w:val="19"/>
        </w:rPr>
        <w:t xml:space="preserve">• Quantifiable Result / Impact: </w:t>
      </w:r>
      <w:r>
        <w:rPr>
          <w:color w:val="334155"/>
          <w:sz w:val="19"/>
        </w:rPr>
        <w:t>Clear financial justification and measurable reduction in clinician burnout.</w:t>
      </w:r>
    </w:p>
    <w:p>
      <w:pPr>
        <w:spacing w:before="160" w:after="40"/>
      </w:pPr>
      <w:r>
        <w:rPr>
          <w:b/>
          <w:color w:val="0284C7"/>
          <w:sz w:val="18"/>
        </w:rPr>
        <w:t>[Token Telemetry &amp; Cost]</w:t>
        <w:br/>
      </w:r>
      <w:r>
        <w:rPr>
          <w:b/>
          <w:color w:val="0F172A"/>
          <w:sz w:val="22"/>
        </w:rPr>
        <w:t>Q18: How does the system track LLM Token Usage Telemetry and Cost Attribution?</w:t>
      </w:r>
    </w:p>
    <w:p>
      <w:pPr>
        <w:spacing w:after="120"/>
        <w:ind w:left="288"/>
      </w:pPr>
      <w:r>
        <w:rPr>
          <w:b/>
          <w:color w:val="9333EA"/>
          <w:sz w:val="19"/>
        </w:rPr>
        <w:t xml:space="preserve">• Core Concept / AI Term: </w:t>
      </w:r>
      <w:r>
        <w:rPr>
          <w:color w:val="334155"/>
          <w:sz w:val="19"/>
        </w:rPr>
        <w:t>Token Consumption Analytics &amp; Daily Quota Attribution.</w:t>
        <w:br/>
      </w:r>
      <w:r>
        <w:rPr>
          <w:b/>
          <w:color w:val="0284C7"/>
          <w:sz w:val="19"/>
        </w:rPr>
        <w:t xml:space="preserve">• How It Is Used in App: </w:t>
      </w:r>
      <w:r>
        <w:rPr>
          <w:color w:val="334155"/>
          <w:sz w:val="19"/>
        </w:rPr>
        <w:t>Every assistant response renders a Token Usage Telemetry Card displaying Input Tokens, Output Tokens, Total Tokens Consumed, and % Daily Quota Used (out of 100,000 daily enterprise limit).</w:t>
        <w:br/>
      </w:r>
      <w:r>
        <w:rPr>
          <w:b/>
          <w:color w:val="10B981"/>
          <w:sz w:val="19"/>
        </w:rPr>
        <w:t xml:space="preserve">• Quantifiable Result / Impact: </w:t>
      </w:r>
      <w:r>
        <w:rPr>
          <w:color w:val="334155"/>
          <w:sz w:val="19"/>
        </w:rPr>
        <w:t>Gives hospital IT executives complete visibility and predictability over AI infrastructure costs.</w:t>
      </w:r>
    </w:p>
    <w:p>
      <w:pPr>
        <w:spacing w:before="160" w:after="40"/>
      </w:pPr>
      <w:r>
        <w:rPr>
          <w:b/>
          <w:color w:val="0284C7"/>
          <w:sz w:val="18"/>
        </w:rPr>
        <w:t>[AWS Production Architecture]</w:t>
        <w:br/>
      </w:r>
      <w:r>
        <w:rPr>
          <w:b/>
          <w:color w:val="0F172A"/>
          <w:sz w:val="22"/>
        </w:rPr>
        <w:t>Q19: How will this interactive prototype scale to AWS Cloud for production?</w:t>
      </w:r>
    </w:p>
    <w:p>
      <w:pPr>
        <w:spacing w:after="120"/>
        <w:ind w:left="288"/>
      </w:pPr>
      <w:r>
        <w:rPr>
          <w:b/>
          <w:color w:val="9333EA"/>
          <w:sz w:val="19"/>
        </w:rPr>
        <w:t xml:space="preserve">• Core Concept / AI Term: </w:t>
      </w:r>
      <w:r>
        <w:rPr>
          <w:color w:val="334155"/>
          <w:sz w:val="19"/>
        </w:rPr>
        <w:t>Enterprise AWS Cloud Production Architecture.</w:t>
        <w:br/>
      </w:r>
      <w:r>
        <w:rPr>
          <w:b/>
          <w:color w:val="0284C7"/>
          <w:sz w:val="19"/>
        </w:rPr>
        <w:t xml:space="preserve">• How It Is Used in App: </w:t>
      </w:r>
      <w:r>
        <w:rPr>
          <w:color w:val="334155"/>
          <w:sz w:val="19"/>
        </w:rPr>
        <w:t>Frontend: AWS Amplify / CloudFront + S3</w:t>
        <w:br/>
        <w:t>API Gateway: Amazon API Gateway (mTLS zero-trust)</w:t>
        <w:br/>
        <w:t>Auth: Amazon Cognito (SAML / OAuth2 SMART-on-FHIR)</w:t>
        <w:br/>
        <w:t>Agents: AWS ECS Fargate container microservices</w:t>
        <w:br/>
        <w:t>LLMs: Amazon Bedrock (Gemini / Claude / Titan) + Bedrock Guardrails</w:t>
        <w:br/>
        <w:t>EHR Store: AWS HealthLake (FHIR R4)</w:t>
        <w:br/>
        <w:t>Database: Amazon Aurora Serverless v2 (pgvector)</w:t>
        <w:br/>
        <w:t>Logging: AWS CloudTrail &amp; CloudWatch.</w:t>
        <w:br/>
      </w:r>
      <w:r>
        <w:rPr>
          <w:b/>
          <w:color w:val="10B981"/>
          <w:sz w:val="19"/>
        </w:rPr>
        <w:t xml:space="preserve">• Quantifiable Result / Impact: </w:t>
      </w:r>
      <w:r>
        <w:rPr>
          <w:color w:val="334155"/>
          <w:sz w:val="19"/>
        </w:rPr>
        <w:t>Enterprise-grade high availability, HIPAA compliance certification, and multi-region failover.</w:t>
      </w:r>
    </w:p>
    <w:p>
      <w:pPr>
        <w:spacing w:before="160" w:after="40"/>
      </w:pPr>
      <w:r>
        <w:rPr>
          <w:b/>
          <w:color w:val="0284C7"/>
          <w:sz w:val="18"/>
        </w:rPr>
        <w:t>[Enterprise EHR Integration]</w:t>
        <w:br/>
      </w:r>
      <w:r>
        <w:rPr>
          <w:b/>
          <w:color w:val="0F172A"/>
          <w:sz w:val="22"/>
        </w:rPr>
        <w:t>Q20: How does the application integrate with production EHR systems (Epic, Cerner, Allscripts)?</w:t>
      </w:r>
    </w:p>
    <w:p>
      <w:pPr>
        <w:spacing w:after="120"/>
        <w:ind w:left="288"/>
      </w:pPr>
      <w:r>
        <w:rPr>
          <w:b/>
          <w:color w:val="9333EA"/>
          <w:sz w:val="19"/>
        </w:rPr>
        <w:t xml:space="preserve">• Core Concept / AI Term: </w:t>
      </w:r>
      <w:r>
        <w:rPr>
          <w:color w:val="334155"/>
          <w:sz w:val="19"/>
        </w:rPr>
        <w:t>HL7 FHIR R4 Standard Interoperability &amp; SMART-on-FHIR Adapters.</w:t>
        <w:br/>
      </w:r>
      <w:r>
        <w:rPr>
          <w:b/>
          <w:color w:val="0284C7"/>
          <w:sz w:val="19"/>
        </w:rPr>
        <w:t xml:space="preserve">• How It Is Used in App: </w:t>
      </w:r>
      <w:r>
        <w:rPr>
          <w:color w:val="334155"/>
          <w:sz w:val="19"/>
        </w:rPr>
        <w:t>The prototype uses synthetic FHIR R4 JSON structures modeled after real-world Epic and Cerner payloads (Patient, Condition, MedicationRequest, Observation). In production, the API gateway connects to hospital EHR endpoints via SMART-on-FHIR OAuth2 bearer tokens and AWS HealthLake FHIR Sync.</w:t>
        <w:br/>
      </w:r>
      <w:r>
        <w:rPr>
          <w:b/>
          <w:color w:val="10B981"/>
          <w:sz w:val="19"/>
        </w:rPr>
        <w:t xml:space="preserve">• Quantifiable Result / Impact: </w:t>
      </w:r>
      <w:r>
        <w:rPr>
          <w:color w:val="334155"/>
          <w:sz w:val="19"/>
        </w:rPr>
        <w:t>Plug-and-play compatibility with any modern EHR vendor supporting FHIR R4 standards.</w:t>
      </w:r>
    </w:p>
    <w:p>
      <w:pPr>
        <w:pStyle w:val="Heading1"/>
      </w:pPr>
      <w:r>
        <w:rPr>
          <w:color w:val="0F172A"/>
        </w:rPr>
        <w:t>Feature Capability Matrix (Demo Prototype vs. AWS Production Roadmap)</w:t>
      </w:r>
    </w:p>
    <w:tbl>
      <w:tblPr>
        <w:tblW w:type="auto" w:w="0"/>
        <w:jc w:val="center"/>
        <w:tblLook w:firstColumn="1" w:firstRow="1" w:lastColumn="0" w:lastRow="0" w:noHBand="0" w:noVBand="1" w:val="04A0"/>
      </w:tblPr>
      <w:tblGrid>
        <w:gridCol w:w="3360"/>
        <w:gridCol w:w="3360"/>
        <w:gridCol w:w="3360"/>
      </w:tblGrid>
      <w:tr>
        <w:tc>
          <w:tcPr>
            <w:tcW w:type="dxa" w:w="3360"/>
            <w:shd w:fill="0F172A"/>
          </w:tcPr>
          <w:p>
            <w:r>
              <w:rPr>
                <w:b/>
                <w:color w:val="FFFFFF"/>
                <w:sz w:val="19"/>
              </w:rPr>
              <w:t>Portal Module / Domain</w:t>
            </w:r>
          </w:p>
        </w:tc>
        <w:tc>
          <w:tcPr>
            <w:tcW w:type="dxa" w:w="3360"/>
            <w:shd w:fill="0F172A"/>
          </w:tcPr>
          <w:p>
            <w:r>
              <w:rPr>
                <w:b/>
                <w:color w:val="FFFFFF"/>
                <w:sz w:val="19"/>
              </w:rPr>
              <w:t>Currently Supported (Demo Prototype Scope)</w:t>
            </w:r>
          </w:p>
        </w:tc>
        <w:tc>
          <w:tcPr>
            <w:tcW w:type="dxa" w:w="3360"/>
            <w:shd w:fill="0F172A"/>
          </w:tcPr>
          <w:p>
            <w:r>
              <w:rPr>
                <w:b/>
                <w:color w:val="FFFFFF"/>
                <w:sz w:val="19"/>
              </w:rPr>
              <w:t>Yet to be Supported (AWS Production Roadmap)</w:t>
            </w:r>
          </w:p>
        </w:tc>
      </w:tr>
      <w:tr>
        <w:tc>
          <w:tcPr>
            <w:tcW w:type="dxa" w:w="3360"/>
            <w:shd w:fill="F8FAFC"/>
          </w:tcPr>
          <w:p>
            <w:r>
              <w:rPr>
                <w:sz w:val="18"/>
              </w:rPr>
              <w:t>Multi-Hospital Federation</w:t>
            </w:r>
          </w:p>
        </w:tc>
        <w:tc>
          <w:tcPr>
            <w:tcW w:type="dxa" w:w="3360"/>
          </w:tcPr>
          <w:p>
            <w:r>
              <w:rPr>
                <w:sz w:val="18"/>
              </w:rPr>
              <w:t>✅ Dynamic hospital context switching across 3 facility networks with instant UI/dataset filtering.</w:t>
            </w:r>
          </w:p>
        </w:tc>
        <w:tc>
          <w:tcPr>
            <w:tcW w:type="dxa" w:w="3360"/>
          </w:tcPr>
          <w:p>
            <w:r>
              <w:rPr>
                <w:sz w:val="18"/>
              </w:rPr>
              <w:t>⏳ Multi-region data residency controls &amp; cross-border compliance routing.</w:t>
            </w:r>
          </w:p>
        </w:tc>
      </w:tr>
      <w:tr>
        <w:tc>
          <w:tcPr>
            <w:tcW w:type="dxa" w:w="3360"/>
            <w:shd w:fill="F8FAFC"/>
          </w:tcPr>
          <w:p>
            <w:r>
              <w:rPr>
                <w:sz w:val="18"/>
              </w:rPr>
              <w:t>Patient 360 View</w:t>
            </w:r>
          </w:p>
        </w:tc>
        <w:tc>
          <w:tcPr>
            <w:tcW w:type="dxa" w:w="3360"/>
          </w:tcPr>
          <w:p>
            <w:r>
              <w:rPr>
                <w:sz w:val="18"/>
              </w:rPr>
              <w:t>✅ Timeline visualization, vitals, active diagnoses, lab trends, and clinician photo lookup.</w:t>
            </w:r>
          </w:p>
        </w:tc>
        <w:tc>
          <w:tcPr>
            <w:tcW w:type="dxa" w:w="3360"/>
          </w:tcPr>
          <w:p>
            <w:r>
              <w:rPr>
                <w:sz w:val="18"/>
              </w:rPr>
              <w:t>⏳ Real-time streaming telemetry from ICU monitors &amp; wearable device integrations.</w:t>
            </w:r>
          </w:p>
        </w:tc>
      </w:tr>
      <w:tr>
        <w:tc>
          <w:tcPr>
            <w:tcW w:type="dxa" w:w="3360"/>
            <w:shd w:fill="F8FAFC"/>
          </w:tcPr>
          <w:p>
            <w:r>
              <w:rPr>
                <w:sz w:val="18"/>
              </w:rPr>
              <w:t>Clinical AI Assistant</w:t>
            </w:r>
          </w:p>
        </w:tc>
        <w:tc>
          <w:tcPr>
            <w:tcW w:type="dxa" w:w="3360"/>
          </w:tcPr>
          <w:p>
            <w:r>
              <w:rPr>
                <w:sz w:val="18"/>
              </w:rPr>
              <w:t>✅ 10-stage execution pipeline, single-agent SVG arrow routing, zero-shot prompt assembly, DLP PHI redaction.</w:t>
            </w:r>
          </w:p>
        </w:tc>
        <w:tc>
          <w:tcPr>
            <w:tcW w:type="dxa" w:w="3360"/>
          </w:tcPr>
          <w:p>
            <w:r>
              <w:rPr>
                <w:sz w:val="18"/>
              </w:rPr>
              <w:t>⏳ Live multi-modal DICOM medical image analysis &amp; voice-to-text ambient scribe.</w:t>
            </w:r>
          </w:p>
        </w:tc>
      </w:tr>
      <w:tr>
        <w:tc>
          <w:tcPr>
            <w:tcW w:type="dxa" w:w="3360"/>
            <w:shd w:fill="F8FAFC"/>
          </w:tcPr>
          <w:p>
            <w:r>
              <w:rPr>
                <w:sz w:val="18"/>
              </w:rPr>
              <w:t>Appointments Center</w:t>
            </w:r>
          </w:p>
        </w:tc>
        <w:tc>
          <w:tcPr>
            <w:tcW w:type="dxa" w:w="3360"/>
          </w:tcPr>
          <w:p>
            <w:r>
              <w:rPr>
                <w:sz w:val="18"/>
              </w:rPr>
              <w:t>✅ Lightweight booking modal, automated simulated SMS &amp; Email alerts, encounter closure modal with status tracking.</w:t>
            </w:r>
          </w:p>
        </w:tc>
        <w:tc>
          <w:tcPr>
            <w:tcW w:type="dxa" w:w="3360"/>
          </w:tcPr>
          <w:p>
            <w:r>
              <w:rPr>
                <w:sz w:val="18"/>
              </w:rPr>
              <w:t>⏳ Integration with Twilio Programmable SMS API and SendGrid production Email webhooks.</w:t>
            </w:r>
          </w:p>
        </w:tc>
      </w:tr>
      <w:tr>
        <w:tc>
          <w:tcPr>
            <w:tcW w:type="dxa" w:w="3360"/>
            <w:shd w:fill="F8FAFC"/>
          </w:tcPr>
          <w:p>
            <w:r>
              <w:rPr>
                <w:sz w:val="18"/>
              </w:rPr>
              <w:t>Executive Dashboard</w:t>
            </w:r>
          </w:p>
        </w:tc>
        <w:tc>
          <w:tcPr>
            <w:tcW w:type="dxa" w:w="3360"/>
          </w:tcPr>
          <w:p>
            <w:r>
              <w:rPr>
                <w:sz w:val="18"/>
              </w:rPr>
              <w:t>✅ 5 KPI cards (patients impacted, hours saved, cost avoidance), SVG Value Realized and AI Precision charts.</w:t>
            </w:r>
          </w:p>
        </w:tc>
        <w:tc>
          <w:tcPr>
            <w:tcW w:type="dxa" w:w="3360"/>
          </w:tcPr>
          <w:p>
            <w:r>
              <w:rPr>
                <w:sz w:val="18"/>
              </w:rPr>
              <w:t>⏳ Automated weekly PDF executive report generator &amp; BI export (Tableau/QuickSight).</w:t>
            </w:r>
          </w:p>
        </w:tc>
      </w:tr>
      <w:tr>
        <w:tc>
          <w:tcPr>
            <w:tcW w:type="dxa" w:w="3360"/>
            <w:shd w:fill="F8FAFC"/>
          </w:tcPr>
          <w:p>
            <w:r>
              <w:rPr>
                <w:sz w:val="18"/>
              </w:rPr>
              <w:t>Audit &amp; Compliance</w:t>
            </w:r>
          </w:p>
        </w:tc>
        <w:tc>
          <w:tcPr>
            <w:tcW w:type="dxa" w:w="3360"/>
          </w:tcPr>
          <w:p>
            <w:r>
              <w:rPr>
                <w:sz w:val="18"/>
              </w:rPr>
              <w:t>✅ RBAC route guards (Admin exclusive), real-time access logs, PHI redaction event stream, security score.</w:t>
            </w:r>
          </w:p>
        </w:tc>
        <w:tc>
          <w:tcPr>
            <w:tcW w:type="dxa" w:w="3360"/>
          </w:tcPr>
          <w:p>
            <w:r>
              <w:rPr>
                <w:sz w:val="18"/>
              </w:rPr>
              <w:t>⏳ Immutable blockchain audit ledger &amp; AWS CloudTrail SIEM integration.</w:t>
            </w:r>
          </w:p>
        </w:tc>
      </w:tr>
      <w:tr>
        <w:tc>
          <w:tcPr>
            <w:tcW w:type="dxa" w:w="3360"/>
            <w:shd w:fill="F8FAFC"/>
          </w:tcPr>
          <w:p>
            <w:r>
              <w:rPr>
                <w:sz w:val="18"/>
              </w:rPr>
              <w:t>Backend Infrastructure</w:t>
            </w:r>
          </w:p>
        </w:tc>
        <w:tc>
          <w:tcPr>
            <w:tcW w:type="dxa" w:w="3360"/>
          </w:tcPr>
          <w:p>
            <w:r>
              <w:rPr>
                <w:sz w:val="18"/>
              </w:rPr>
              <w:t>✅ Local Vite / Express Node server (`server.ts`) running synthetic FHIR JSON schemas.</w:t>
            </w:r>
          </w:p>
        </w:tc>
        <w:tc>
          <w:tcPr>
            <w:tcW w:type="dxa" w:w="3360"/>
          </w:tcPr>
          <w:p>
            <w:r>
              <w:rPr>
                <w:sz w:val="18"/>
              </w:rPr>
              <w:t>⏳ AWS Cloud infrastructure (Amplify, Bedrock, HealthLake, ECS Fargate, Aurora Serverless).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