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D072A" w14:textId="331206CB" w:rsidR="00F15CF0" w:rsidRPr="00F15CF0" w:rsidRDefault="00F15CF0" w:rsidP="00F15CF0">
      <w:pPr>
        <w:ind w:left="1440" w:firstLine="720"/>
        <w:rPr>
          <w:b/>
          <w:bCs/>
          <w:sz w:val="48"/>
          <w:szCs w:val="48"/>
          <w:lang w:val="en-US"/>
        </w:rPr>
      </w:pPr>
      <w:r w:rsidRPr="00F15CF0">
        <w:rPr>
          <w:b/>
          <w:bCs/>
          <w:sz w:val="48"/>
          <w:szCs w:val="48"/>
          <w:lang w:val="en-US"/>
        </w:rPr>
        <w:t>BLAST Analysis Report</w:t>
      </w:r>
    </w:p>
    <w:p w14:paraId="437823A9" w14:textId="10B3C5C3" w:rsidR="00F15CF0" w:rsidRPr="00A303D3" w:rsidRDefault="00EB20C1" w:rsidP="00F15CF0">
      <w:pPr>
        <w:rPr>
          <w:rFonts w:asciiTheme="majorHAnsi" w:hAnsiTheme="majorHAnsi"/>
          <w:b/>
          <w:bCs/>
          <w:sz w:val="36"/>
          <w:szCs w:val="36"/>
          <w:lang w:val="en-US"/>
        </w:rPr>
      </w:pPr>
      <w:r w:rsidRPr="00A303D3">
        <w:rPr>
          <w:rFonts w:asciiTheme="majorHAnsi" w:hAnsiTheme="majorHAnsi"/>
          <w:b/>
          <w:bCs/>
          <w:sz w:val="36"/>
          <w:szCs w:val="36"/>
          <w:lang w:val="en-US"/>
        </w:rPr>
        <w:t>Sequence Homology Analysis of Human</w:t>
      </w:r>
      <w:r w:rsidR="00344B56" w:rsidRPr="00A303D3">
        <w:rPr>
          <w:rFonts w:asciiTheme="majorHAnsi" w:hAnsiTheme="majorHAnsi"/>
          <w:b/>
          <w:bCs/>
          <w:sz w:val="36"/>
          <w:szCs w:val="36"/>
          <w:lang w:val="en-US"/>
        </w:rPr>
        <w:t xml:space="preserve"> Proto-Oncogene </w:t>
      </w:r>
      <w:r w:rsidR="003B7AC3" w:rsidRPr="00A303D3">
        <w:rPr>
          <w:rFonts w:asciiTheme="majorHAnsi" w:hAnsiTheme="majorHAnsi"/>
          <w:b/>
          <w:bCs/>
          <w:sz w:val="36"/>
          <w:szCs w:val="36"/>
          <w:lang w:val="en-US"/>
        </w:rPr>
        <w:t>Tyrosine -Protein Kin</w:t>
      </w:r>
      <w:r w:rsidR="00A303D3" w:rsidRPr="00A303D3">
        <w:rPr>
          <w:rFonts w:asciiTheme="majorHAnsi" w:hAnsiTheme="majorHAnsi"/>
          <w:b/>
          <w:bCs/>
          <w:sz w:val="36"/>
          <w:szCs w:val="36"/>
          <w:lang w:val="en-US"/>
        </w:rPr>
        <w:t>ase ABL1 (BCR-ABL Target Protein)</w:t>
      </w:r>
    </w:p>
    <w:p w14:paraId="7FEFD812" w14:textId="687B7C59" w:rsidR="00F15CF0" w:rsidRDefault="00F15CF0" w:rsidP="00F15C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 Alpha Bioinformatics Internship- Task1 Protein Sequence Analysis</w:t>
      </w:r>
    </w:p>
    <w:p w14:paraId="77E3C44B" w14:textId="16E7D46C" w:rsidR="00C74E4E" w:rsidRDefault="00953AB4" w:rsidP="00F15C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(Chronic Myeloi</w:t>
      </w:r>
      <w:r w:rsidR="00AD4D29">
        <w:rPr>
          <w:sz w:val="28"/>
          <w:szCs w:val="28"/>
          <w:lang w:val="en-US"/>
        </w:rPr>
        <w:t>d Leukemia -CML)</w:t>
      </w:r>
    </w:p>
    <w:p w14:paraId="5CE34DC8" w14:textId="77777777" w:rsidR="002765D7" w:rsidRDefault="002765D7" w:rsidP="00F15CF0">
      <w:pPr>
        <w:rPr>
          <w:sz w:val="28"/>
          <w:szCs w:val="28"/>
          <w:lang w:val="en-US"/>
        </w:rPr>
      </w:pPr>
    </w:p>
    <w:p w14:paraId="06783552" w14:textId="77777777" w:rsidR="002765D7" w:rsidRDefault="002765D7" w:rsidP="00F15CF0">
      <w:pPr>
        <w:rPr>
          <w:sz w:val="28"/>
          <w:szCs w:val="28"/>
          <w:lang w:val="en-US"/>
        </w:rPr>
      </w:pPr>
    </w:p>
    <w:p w14:paraId="32075B42" w14:textId="72AB9966" w:rsidR="002765D7" w:rsidRDefault="002765D7" w:rsidP="002765D7">
      <w:pPr>
        <w:rPr>
          <w:b/>
          <w:bCs/>
          <w:sz w:val="28"/>
          <w:szCs w:val="28"/>
        </w:rPr>
      </w:pPr>
      <w:r w:rsidRPr="002765D7">
        <w:rPr>
          <w:b/>
          <w:bCs/>
          <w:noProof/>
          <w:sz w:val="28"/>
          <w:szCs w:val="28"/>
        </w:rPr>
        <w:drawing>
          <wp:inline distT="0" distB="0" distL="0" distR="0" wp14:anchorId="2F53844D" wp14:editId="7BD90EA8">
            <wp:extent cx="5731510" cy="1276985"/>
            <wp:effectExtent l="0" t="0" r="2540" b="0"/>
            <wp:docPr id="2051829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2855D" w14:textId="77777777" w:rsidR="00DE16EB" w:rsidRPr="00E77CEF" w:rsidRDefault="00DE16EB" w:rsidP="00073E76">
      <w:pPr>
        <w:spacing w:line="360" w:lineRule="auto"/>
        <w:jc w:val="both"/>
        <w:rPr>
          <w:b/>
          <w:bCs/>
        </w:rPr>
      </w:pPr>
      <w:r w:rsidRPr="00E77CEF">
        <w:rPr>
          <w:b/>
          <w:bCs/>
        </w:rPr>
        <w:t>Fig. 1: Protein BLAST (</w:t>
      </w:r>
      <w:proofErr w:type="spellStart"/>
      <w:r w:rsidRPr="00E77CEF">
        <w:rPr>
          <w:b/>
          <w:bCs/>
        </w:rPr>
        <w:t>BLASTp</w:t>
      </w:r>
      <w:proofErr w:type="spellEnd"/>
      <w:r w:rsidRPr="00E77CEF">
        <w:rPr>
          <w:b/>
          <w:bCs/>
        </w:rPr>
        <w:t>) result table showing sequence similarity hits for the query protein (ABL1 kinase domain) across different organisms and PDB entries.</w:t>
      </w:r>
    </w:p>
    <w:p w14:paraId="02A3336E" w14:textId="77777777" w:rsidR="00DE16EB" w:rsidRPr="00986699" w:rsidRDefault="00DE16EB" w:rsidP="00073E76">
      <w:pPr>
        <w:spacing w:line="360" w:lineRule="auto"/>
        <w:jc w:val="both"/>
      </w:pPr>
      <w:r w:rsidRPr="00986699">
        <w:t>100% Query coverage in the top hit (entire sequence aligns with the identified protein). Very high sequence identity (98.26%–100%); the query sequence is almost identical to known Proto-oncogene tyrosine-protein kinase ABL1 across both human and mouse structures. E-value matches are highly significant (0.0 across all hits), and the alignment can be considered biologically reliable.</w:t>
      </w:r>
    </w:p>
    <w:p w14:paraId="49F8B324" w14:textId="156E3AFE" w:rsidR="00DE16EB" w:rsidRPr="00986699" w:rsidRDefault="00DE16EB" w:rsidP="00073E76">
      <w:pPr>
        <w:spacing w:line="360" w:lineRule="auto"/>
        <w:jc w:val="both"/>
      </w:pPr>
      <w:r w:rsidRPr="00986699">
        <w:t>Top hit: Represents mouse ABL1 (PDB 1FPU_A), showing 100% identity, 100% coverage. The second-ranked hit, 2E2B_A, represents human ABL1 with 98.98% identity</w:t>
      </w:r>
      <w:r w:rsidR="002B3E42">
        <w:t xml:space="preserve"> </w:t>
      </w:r>
      <w:r w:rsidRPr="00986699">
        <w:t>an excellent structural template for human-relevant drug discovery work</w:t>
      </w:r>
      <w:r w:rsidR="002B3E42">
        <w:t>.</w:t>
      </w:r>
    </w:p>
    <w:p w14:paraId="64FD3E0D" w14:textId="77777777" w:rsidR="00DE16EB" w:rsidRPr="00986699" w:rsidRDefault="00DE16EB" w:rsidP="00073E76">
      <w:pPr>
        <w:spacing w:line="360" w:lineRule="auto"/>
        <w:jc w:val="both"/>
      </w:pPr>
      <w:r w:rsidRPr="00986699">
        <w:t>To conclude, BLAST analysis confirms the query protein corresponds with high confidence to ABL1 tyrosine-protein kinase, the catalytic domain responsible for the constitutive kinase activity in the BCR-ABL fusion protein.</w:t>
      </w:r>
    </w:p>
    <w:p w14:paraId="2C73AC0E" w14:textId="62425EA0" w:rsidR="002765D7" w:rsidRPr="00986699" w:rsidRDefault="00DE16EB" w:rsidP="00073E76">
      <w:pPr>
        <w:spacing w:line="360" w:lineRule="auto"/>
        <w:jc w:val="both"/>
      </w:pPr>
      <w:r w:rsidRPr="00986699">
        <w:t xml:space="preserve">Results indicate that the query sequence is highly conserved across mammalian species and belongs to the ABL1 tyrosine kinase family, a key regulator of cell proliferation and </w:t>
      </w:r>
      <w:r w:rsidRPr="00986699">
        <w:lastRenderedPageBreak/>
        <w:t>survival — and, when fused as BCR-ABL, the direct driver of Chronic Myeloid Leukemia (CML).</w:t>
      </w:r>
    </w:p>
    <w:p w14:paraId="5C3668E1" w14:textId="1B826A9A" w:rsidR="00E81C23" w:rsidRPr="00E81C23" w:rsidRDefault="00E81C23" w:rsidP="00E81C23">
      <w:pPr>
        <w:spacing w:line="360" w:lineRule="auto"/>
        <w:jc w:val="both"/>
      </w:pPr>
      <w:r w:rsidRPr="00E81C23">
        <w:rPr>
          <w:noProof/>
        </w:rPr>
        <w:drawing>
          <wp:inline distT="0" distB="0" distL="0" distR="0" wp14:anchorId="31992BE9" wp14:editId="20F96AC9">
            <wp:extent cx="5731510" cy="3871595"/>
            <wp:effectExtent l="0" t="0" r="2540" b="0"/>
            <wp:docPr id="3688303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9210F" w14:textId="77777777" w:rsidR="009B38B4" w:rsidRPr="00730042" w:rsidRDefault="009B38B4" w:rsidP="009B38B4">
      <w:pPr>
        <w:spacing w:line="360" w:lineRule="auto"/>
        <w:jc w:val="both"/>
        <w:rPr>
          <w:b/>
          <w:bCs/>
          <w:lang w:val="en-US"/>
        </w:rPr>
      </w:pPr>
      <w:r w:rsidRPr="00730042">
        <w:rPr>
          <w:b/>
          <w:bCs/>
          <w:lang w:val="en-US"/>
        </w:rPr>
        <w:t>Fig. 2: Conserved domain analysis and BLAST hit distribution for the ABL1 kinase domain protein</w:t>
      </w:r>
    </w:p>
    <w:p w14:paraId="37A6049B" w14:textId="77777777" w:rsidR="009B38B4" w:rsidRPr="00730042" w:rsidRDefault="009B38B4" w:rsidP="009B38B4">
      <w:pPr>
        <w:spacing w:line="360" w:lineRule="auto"/>
        <w:jc w:val="both"/>
        <w:rPr>
          <w:b/>
          <w:bCs/>
          <w:lang w:val="en-US"/>
        </w:rPr>
      </w:pPr>
      <w:r w:rsidRPr="00730042">
        <w:rPr>
          <w:b/>
          <w:bCs/>
          <w:lang w:val="en-US"/>
        </w:rPr>
        <w:t>Conserved domain architecture</w:t>
      </w:r>
    </w:p>
    <w:p w14:paraId="770B8513" w14:textId="03CD1D58" w:rsidR="009B38B4" w:rsidRPr="009B38B4" w:rsidRDefault="009B38B4" w:rsidP="009B38B4">
      <w:pPr>
        <w:spacing w:line="360" w:lineRule="auto"/>
        <w:jc w:val="both"/>
        <w:rPr>
          <w:lang w:val="en-US"/>
        </w:rPr>
      </w:pPr>
      <w:r w:rsidRPr="009B38B4">
        <w:rPr>
          <w:lang w:val="en-US"/>
        </w:rPr>
        <w:t>Conserved domain analysis revealed that the query sequence contains the characteristic domain architecture of a protein tyrosine kinase (PTKc_Abl), belonging to the PKc_like superfamily. Several functionally critical sites were identified across the ~293-residue sequence:</w:t>
      </w:r>
    </w:p>
    <w:p w14:paraId="0FFD10C8" w14:textId="77777777" w:rsidR="009B38B4" w:rsidRPr="009B38B4" w:rsidRDefault="009B38B4" w:rsidP="009B38B4">
      <w:pPr>
        <w:spacing w:line="360" w:lineRule="auto"/>
        <w:jc w:val="both"/>
        <w:rPr>
          <w:lang w:val="en-US"/>
        </w:rPr>
      </w:pPr>
      <w:r w:rsidRPr="009B38B4">
        <w:rPr>
          <w:lang w:val="en-US"/>
        </w:rPr>
        <w:t>Active site residues distributed across the kinase domain, responsible for catalyzing phosphate transfer</w:t>
      </w:r>
    </w:p>
    <w:p w14:paraId="7A798B44" w14:textId="77777777" w:rsidR="009B38B4" w:rsidRPr="009B38B4" w:rsidRDefault="009B38B4" w:rsidP="009B38B4">
      <w:pPr>
        <w:spacing w:line="360" w:lineRule="auto"/>
        <w:jc w:val="both"/>
        <w:rPr>
          <w:lang w:val="en-US"/>
        </w:rPr>
      </w:pPr>
      <w:r w:rsidRPr="009B38B4">
        <w:rPr>
          <w:lang w:val="en-US"/>
        </w:rPr>
        <w:t xml:space="preserve">ATP binding site residues located primarily in the N-terminal lobe, essential for binding ATP </w:t>
      </w:r>
      <w:r w:rsidRPr="00730042">
        <w:rPr>
          <w:b/>
          <w:bCs/>
          <w:lang w:val="en-US"/>
        </w:rPr>
        <w:t>(the phosphate donor for kinase activity)</w:t>
      </w:r>
    </w:p>
    <w:p w14:paraId="23E09BE7" w14:textId="4B45AE2D" w:rsidR="009B38B4" w:rsidRPr="009B38B4" w:rsidRDefault="009B38B4" w:rsidP="009B38B4">
      <w:pPr>
        <w:spacing w:line="360" w:lineRule="auto"/>
        <w:jc w:val="both"/>
        <w:rPr>
          <w:lang w:val="en-US"/>
        </w:rPr>
      </w:pPr>
      <w:r w:rsidRPr="009B38B4">
        <w:rPr>
          <w:lang w:val="en-US"/>
        </w:rPr>
        <w:t>Polypeptide substrate binding site, were target proteins dock for phosphorylation</w:t>
      </w:r>
    </w:p>
    <w:p w14:paraId="7AC9AB7B" w14:textId="77777777" w:rsidR="009B38B4" w:rsidRPr="009B38B4" w:rsidRDefault="009B38B4" w:rsidP="009B38B4">
      <w:pPr>
        <w:spacing w:line="360" w:lineRule="auto"/>
        <w:jc w:val="both"/>
        <w:rPr>
          <w:lang w:val="en-US"/>
        </w:rPr>
      </w:pPr>
      <w:r w:rsidRPr="009B38B4">
        <w:rPr>
          <w:lang w:val="en-US"/>
        </w:rPr>
        <w:t>Activation loop (A-loop), a critical regulatory segment (~residues 145–170) that controls the kinase's active/inactive conformational switch</w:t>
      </w:r>
    </w:p>
    <w:p w14:paraId="25C4813A" w14:textId="77777777" w:rsidR="009B38B4" w:rsidRPr="009B38B4" w:rsidRDefault="009B38B4" w:rsidP="009B38B4">
      <w:pPr>
        <w:spacing w:line="360" w:lineRule="auto"/>
        <w:jc w:val="both"/>
        <w:rPr>
          <w:lang w:val="en-US"/>
        </w:rPr>
      </w:pPr>
      <w:r w:rsidRPr="009B38B4">
        <w:rPr>
          <w:lang w:val="en-US"/>
        </w:rPr>
        <w:t>SH3/SH2 domain interface residues, which normally interact with the SH3-SH2 regulatory domains to keep the kinase in an autoinhibited (OFF) state</w:t>
      </w:r>
    </w:p>
    <w:p w14:paraId="7E9E4524" w14:textId="77777777" w:rsidR="009B38B4" w:rsidRPr="009B38B4" w:rsidRDefault="009B38B4" w:rsidP="009B38B4">
      <w:pPr>
        <w:spacing w:line="360" w:lineRule="auto"/>
        <w:jc w:val="both"/>
        <w:rPr>
          <w:lang w:val="en-US"/>
        </w:rPr>
      </w:pPr>
      <w:r w:rsidRPr="009B38B4">
        <w:rPr>
          <w:lang w:val="en-US"/>
        </w:rPr>
        <w:t>Myristoyl binding site, involved in another autoinhibitory mechanism where a myristoylated N-terminus folds back to lock the kinase inactive</w:t>
      </w:r>
    </w:p>
    <w:p w14:paraId="18CF6354" w14:textId="77777777" w:rsidR="009B38B4" w:rsidRPr="009B38B4" w:rsidRDefault="009B38B4" w:rsidP="009B38B4">
      <w:pPr>
        <w:spacing w:line="360" w:lineRule="auto"/>
        <w:jc w:val="both"/>
        <w:rPr>
          <w:lang w:val="en-US"/>
        </w:rPr>
      </w:pPr>
      <w:r w:rsidRPr="009B38B4">
        <w:rPr>
          <w:lang w:val="en-US"/>
        </w:rPr>
        <w:t>Presence of these domains confirms that the query sequence possesses the typical structural organization of a functional ABL1 tyrosine kinase. Specific hit: PTKc_Abl; superfamily architecture: PKc_like.</w:t>
      </w:r>
    </w:p>
    <w:p w14:paraId="67223AB2" w14:textId="77777777" w:rsidR="009B38B4" w:rsidRPr="00730042" w:rsidRDefault="009B38B4" w:rsidP="009B38B4">
      <w:pPr>
        <w:spacing w:line="360" w:lineRule="auto"/>
        <w:jc w:val="both"/>
        <w:rPr>
          <w:b/>
          <w:bCs/>
          <w:lang w:val="en-US"/>
        </w:rPr>
      </w:pPr>
      <w:r w:rsidRPr="00730042">
        <w:rPr>
          <w:b/>
          <w:bCs/>
          <w:lang w:val="en-US"/>
        </w:rPr>
        <w:t>Graphical analysis</w:t>
      </w:r>
    </w:p>
    <w:p w14:paraId="2732ACCF" w14:textId="77777777" w:rsidR="009B38B4" w:rsidRPr="009B38B4" w:rsidRDefault="009B38B4" w:rsidP="009B38B4">
      <w:pPr>
        <w:spacing w:line="360" w:lineRule="auto"/>
        <w:jc w:val="both"/>
        <w:rPr>
          <w:lang w:val="en-US"/>
        </w:rPr>
      </w:pPr>
      <w:r w:rsidRPr="009B38B4">
        <w:rPr>
          <w:lang w:val="en-US"/>
        </w:rPr>
        <w:t>Blast hit distribution of the top 100 hits shows continuous, full-length red bars aligning across nearly the entire query sequence (residues 1–293), indicating strong evolutionary conservation and supporting the functional annotation of the sequence as ABL1 kinase.</w:t>
      </w:r>
    </w:p>
    <w:p w14:paraId="5E1C5B7C" w14:textId="77777777" w:rsidR="009B38B4" w:rsidRPr="00730042" w:rsidRDefault="009B38B4" w:rsidP="009B38B4">
      <w:pPr>
        <w:spacing w:line="360" w:lineRule="auto"/>
        <w:jc w:val="both"/>
        <w:rPr>
          <w:b/>
          <w:bCs/>
          <w:lang w:val="en-US"/>
        </w:rPr>
      </w:pPr>
      <w:r w:rsidRPr="00730042">
        <w:rPr>
          <w:b/>
          <w:bCs/>
          <w:lang w:val="en-US"/>
        </w:rPr>
        <w:t>Biological relevance</w:t>
      </w:r>
    </w:p>
    <w:p w14:paraId="00EE9F88" w14:textId="77777777" w:rsidR="009B38B4" w:rsidRPr="009B38B4" w:rsidRDefault="009B38B4" w:rsidP="009B38B4">
      <w:pPr>
        <w:spacing w:line="360" w:lineRule="auto"/>
        <w:jc w:val="both"/>
        <w:rPr>
          <w:lang w:val="en-US"/>
        </w:rPr>
      </w:pPr>
      <w:r w:rsidRPr="009B38B4">
        <w:rPr>
          <w:lang w:val="en-US"/>
        </w:rPr>
        <w:t xml:space="preserve">Critical for ABL1's dual regulatory mechanism (SH3/SH2 autoinhibition + </w:t>
      </w:r>
      <w:proofErr w:type="spellStart"/>
      <w:r w:rsidRPr="009B38B4">
        <w:rPr>
          <w:lang w:val="en-US"/>
        </w:rPr>
        <w:t>myristoyl</w:t>
      </w:r>
      <w:proofErr w:type="spellEnd"/>
      <w:r w:rsidRPr="009B38B4">
        <w:rPr>
          <w:lang w:val="en-US"/>
        </w:rPr>
        <w:t xml:space="preserve"> switch) and its catalytic kinase function.</w:t>
      </w:r>
    </w:p>
    <w:p w14:paraId="5D6AE511" w14:textId="77777777" w:rsidR="009B38B4" w:rsidRPr="009B38B4" w:rsidRDefault="009B38B4" w:rsidP="009B38B4">
      <w:pPr>
        <w:spacing w:line="360" w:lineRule="auto"/>
        <w:jc w:val="both"/>
        <w:rPr>
          <w:lang w:val="en-US"/>
        </w:rPr>
      </w:pPr>
      <w:r w:rsidRPr="009B38B4">
        <w:rPr>
          <w:lang w:val="en-US"/>
        </w:rPr>
        <w:t>Red bars — BLAST alignment hits, representing top 100 BLAST hits</w:t>
      </w:r>
    </w:p>
    <w:p w14:paraId="12254865" w14:textId="7646C5F1" w:rsidR="00F15CF0" w:rsidRPr="00986699" w:rsidRDefault="009B38B4" w:rsidP="009B38B4">
      <w:pPr>
        <w:spacing w:line="360" w:lineRule="auto"/>
        <w:jc w:val="both"/>
        <w:rPr>
          <w:lang w:val="en-US"/>
        </w:rPr>
      </w:pPr>
      <w:r w:rsidRPr="009B38B4">
        <w:rPr>
          <w:lang w:val="en-US"/>
        </w:rPr>
        <w:t>Continuous red bars indicate full-length sequence conservation; no truncations or missing domains, confirming high evolutionary conservation of ABL1 across species and structures</w:t>
      </w:r>
      <w:r w:rsidR="007B5FEB">
        <w:rPr>
          <w:lang w:val="en-US"/>
        </w:rPr>
        <w:t>.</w:t>
      </w:r>
    </w:p>
    <w:sectPr w:rsidR="00F15CF0" w:rsidRPr="00986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CF0"/>
    <w:rsid w:val="000315FE"/>
    <w:rsid w:val="00031981"/>
    <w:rsid w:val="00051D1D"/>
    <w:rsid w:val="00073E76"/>
    <w:rsid w:val="000855FA"/>
    <w:rsid w:val="000C35C2"/>
    <w:rsid w:val="000E3867"/>
    <w:rsid w:val="000F166D"/>
    <w:rsid w:val="00104EFC"/>
    <w:rsid w:val="0011374B"/>
    <w:rsid w:val="00130C73"/>
    <w:rsid w:val="001622A4"/>
    <w:rsid w:val="001C31B6"/>
    <w:rsid w:val="001E71DB"/>
    <w:rsid w:val="0020598C"/>
    <w:rsid w:val="00226E94"/>
    <w:rsid w:val="002765D7"/>
    <w:rsid w:val="0028618D"/>
    <w:rsid w:val="002B291E"/>
    <w:rsid w:val="002B3E42"/>
    <w:rsid w:val="002B44D1"/>
    <w:rsid w:val="002F7265"/>
    <w:rsid w:val="00344B56"/>
    <w:rsid w:val="003B7AC3"/>
    <w:rsid w:val="003D7819"/>
    <w:rsid w:val="003F2259"/>
    <w:rsid w:val="003F6F29"/>
    <w:rsid w:val="00431879"/>
    <w:rsid w:val="004332ED"/>
    <w:rsid w:val="004461E1"/>
    <w:rsid w:val="004A193F"/>
    <w:rsid w:val="004A41D8"/>
    <w:rsid w:val="004C0BBD"/>
    <w:rsid w:val="004E26E4"/>
    <w:rsid w:val="00502F64"/>
    <w:rsid w:val="0051336F"/>
    <w:rsid w:val="00533B5C"/>
    <w:rsid w:val="00545714"/>
    <w:rsid w:val="0054785F"/>
    <w:rsid w:val="005637B6"/>
    <w:rsid w:val="00583F3D"/>
    <w:rsid w:val="005941A6"/>
    <w:rsid w:val="005E102C"/>
    <w:rsid w:val="005E5FD1"/>
    <w:rsid w:val="00666063"/>
    <w:rsid w:val="00675823"/>
    <w:rsid w:val="00693AE1"/>
    <w:rsid w:val="006A5E49"/>
    <w:rsid w:val="006B0088"/>
    <w:rsid w:val="006C65BA"/>
    <w:rsid w:val="006F5C95"/>
    <w:rsid w:val="0071387A"/>
    <w:rsid w:val="00730042"/>
    <w:rsid w:val="00745AC0"/>
    <w:rsid w:val="00755C63"/>
    <w:rsid w:val="00762D2D"/>
    <w:rsid w:val="007B5FEB"/>
    <w:rsid w:val="007F1AB5"/>
    <w:rsid w:val="008043C9"/>
    <w:rsid w:val="00835242"/>
    <w:rsid w:val="008A0A39"/>
    <w:rsid w:val="008D009B"/>
    <w:rsid w:val="008D08D9"/>
    <w:rsid w:val="008D492B"/>
    <w:rsid w:val="008F05E0"/>
    <w:rsid w:val="00917BF4"/>
    <w:rsid w:val="00926321"/>
    <w:rsid w:val="00953AB4"/>
    <w:rsid w:val="0096104E"/>
    <w:rsid w:val="00986699"/>
    <w:rsid w:val="00993742"/>
    <w:rsid w:val="009B38B4"/>
    <w:rsid w:val="009B476A"/>
    <w:rsid w:val="009C69B6"/>
    <w:rsid w:val="009E442D"/>
    <w:rsid w:val="009F3ED4"/>
    <w:rsid w:val="00A13173"/>
    <w:rsid w:val="00A16A47"/>
    <w:rsid w:val="00A303D3"/>
    <w:rsid w:val="00A45131"/>
    <w:rsid w:val="00AD4D29"/>
    <w:rsid w:val="00AD6288"/>
    <w:rsid w:val="00B23537"/>
    <w:rsid w:val="00B2490B"/>
    <w:rsid w:val="00B374B2"/>
    <w:rsid w:val="00B73E99"/>
    <w:rsid w:val="00BC7E99"/>
    <w:rsid w:val="00BD36DD"/>
    <w:rsid w:val="00BD489F"/>
    <w:rsid w:val="00C131EC"/>
    <w:rsid w:val="00C27B45"/>
    <w:rsid w:val="00C43C39"/>
    <w:rsid w:val="00C47C88"/>
    <w:rsid w:val="00C52EC5"/>
    <w:rsid w:val="00C74E4E"/>
    <w:rsid w:val="00CC17ED"/>
    <w:rsid w:val="00CE787D"/>
    <w:rsid w:val="00D509B9"/>
    <w:rsid w:val="00D57E12"/>
    <w:rsid w:val="00D83122"/>
    <w:rsid w:val="00D95A5F"/>
    <w:rsid w:val="00DA775B"/>
    <w:rsid w:val="00DB3866"/>
    <w:rsid w:val="00DE16EB"/>
    <w:rsid w:val="00DE4A03"/>
    <w:rsid w:val="00DE7142"/>
    <w:rsid w:val="00E14FC3"/>
    <w:rsid w:val="00E22C53"/>
    <w:rsid w:val="00E77CEF"/>
    <w:rsid w:val="00E81C23"/>
    <w:rsid w:val="00E84D12"/>
    <w:rsid w:val="00E87701"/>
    <w:rsid w:val="00EB0DE2"/>
    <w:rsid w:val="00EB20C1"/>
    <w:rsid w:val="00F15CF0"/>
    <w:rsid w:val="00F47283"/>
    <w:rsid w:val="00F7359F"/>
    <w:rsid w:val="00F756F3"/>
    <w:rsid w:val="00FD5096"/>
    <w:rsid w:val="00FF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C0F31"/>
  <w15:chartTrackingRefBased/>
  <w15:docId w15:val="{D454AC56-8D88-453E-B849-4E20503AD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C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225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3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rreemma88@outlook.com</dc:creator>
  <cp:keywords/>
  <dc:description/>
  <cp:lastModifiedBy>rreemma88@outlook.com</cp:lastModifiedBy>
  <cp:revision>115</cp:revision>
  <dcterms:created xsi:type="dcterms:W3CDTF">2026-08-23T09:44:00Z</dcterms:created>
  <dcterms:modified xsi:type="dcterms:W3CDTF">2026-08-28T13:44:00Z</dcterms:modified>
</cp:coreProperties>
</file>