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dsf</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sdf</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03-12-2019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212321321312</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PPE RES</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28624"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d9a76e68cf24354"/>
                          <a:stretch>
                            <a:fillRect/>
                          </a:stretch>
                        </pic:blipFill>
                        <pic:spPr>
                          <a:xfrm>
                            <a:off x="0" y="0"/>
                            <a:ext cx="228624"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d6abc0f42fe43c0"/>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29-05-2019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5e95c42ab054b25"/>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a2967c09-195e-4ba7-90d7-f6a786dbfb59.png" Id="Rb46ca611f87a4316" /><Relationship Type="http://schemas.openxmlformats.org/officeDocument/2006/relationships/image" Target="/word/media/be5b02b2-1896-4a61-80dc-127965658d1e.png" Id="Rbd9a76e68cf24354" /><Relationship Type="http://schemas.openxmlformats.org/officeDocument/2006/relationships/image" Target="/word/media/aa002293-7d94-43fc-bb6d-5de36d17a8d1.png" Id="Rfd6abc0f42fe43c0" /></Relationships>
</file>

<file path=word/_rels/header2.xml.rels>&#65279;<?xml version="1.0" encoding="utf-8"?><Relationships xmlns="http://schemas.openxmlformats.org/package/2006/relationships"><Relationship Type="http://schemas.openxmlformats.org/officeDocument/2006/relationships/image" Target="/word/media/a2967c09-195e-4ba7-90d7-f6a786dbfb59.png" Id="R65e95c42ab054b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