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WO-000012</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20-08-2020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21-08-2020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209 Great Eastern Hwy, Belmont WA 6104, Australia,Belmont,Western Australia,Australia,6104</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SWMS 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Gasoline,Propelene,Falling from height,Injury from contact with power tools,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2011,Workplace Health &amp; Safety Regulation 2011,Code of Practice : Work health and safety consultation and co-operation and co-ordination,Code of Practice: Managing the risk of falls in the workplace,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Coring/Penetration,High Access equipment permit,Qualifications and licenses,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20-08-2020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Hard hat</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438656" cy="243865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ae774a88fc74860"/>
                          <a:stretch>
                            <a:fillRect/>
                          </a:stretch>
                        </pic:blipFill>
                        <pic:spPr>
                          <a:xfrm>
                            <a:off x="0" y="0"/>
                            <a:ext cx="2438656" cy="243865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2"/>
                <w:szCs w:val="22"/>
              </w:rPr>
              <w:t>Protective footwear</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Safety harness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152876" cy="2124298"/>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00debc55c4d47a0"/>
                          <a:stretch>
                            <a:fillRect/>
                          </a:stretch>
                        </pic:blipFill>
                        <pic:spPr>
                          <a:xfrm>
                            <a:off x="0" y="0"/>
                            <a:ext cx="2152876" cy="2124298"/>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2"/>
                <w:szCs w:val="22"/>
              </w:rPr>
              <w:t>Safety harness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2"/>
                <w:szCs w:val="22"/>
              </w:rPr>
              <w:t>Welding Gauntlets</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Think about the workplace and each stage of the work, including preparation and clean-up.</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Identify the hazards and risks that may cause harm to workers or the public</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poorly designed workstations</w:t>
            </w:r>
            <w:r>
              <w:rPr>
                <w:sz w:val="22"/>
                <w:szCs w:val="22"/>
              </w:rPr>
              <w:br/>
            </w:r>
            <w:r>
              <w:rPr>
                <w:sz w:val="22"/>
                <w:szCs w:val="22"/>
              </w:rPr>
              <w:t xml:space="preserve"> lack of ventilation</w:t>
            </w:r>
            <w:r>
              <w:rPr>
                <w:sz w:val="22"/>
                <w:szCs w:val="22"/>
              </w:rPr>
              <w:br/>
            </w:r>
            <w:r>
              <w:rPr>
                <w:sz w:val="22"/>
                <w:szCs w:val="22"/>
              </w:rPr>
              <w:t>excessive noise</w:t>
            </w:r>
            <w:r>
              <w:rPr>
                <w:sz w:val="22"/>
                <w:szCs w:val="22"/>
              </w:rPr>
              <w:br/>
            </w:r>
            <w:r>
              <w:rPr>
                <w:sz w:val="22"/>
                <w:szCs w:val="22"/>
              </w:rPr>
              <w:t>inappropriate lighting</w:t>
            </w:r>
            <w:r>
              <w:rPr>
                <w:sz w:val="22"/>
                <w:szCs w:val="22"/>
              </w:rPr>
              <w:br/>
            </w:r>
            <w:r>
              <w:rPr>
                <w:sz w:val="22"/>
                <w:szCs w:val="22"/>
              </w:rPr>
              <w:t>poor supervisor support</w:t>
            </w:r>
            <w:r>
              <w:rPr>
                <w:sz w:val="22"/>
                <w:szCs w:val="22"/>
              </w:rPr>
              <w:br/>
            </w:r>
            <w:r>
              <w:rPr>
                <w:sz w:val="22"/>
                <w:szCs w:val="22"/>
              </w:rPr>
              <w:t>poor work space</w:t>
            </w:r>
            <w:r>
              <w:rPr>
                <w:sz w:val="22"/>
                <w:szCs w:val="22"/>
              </w:rPr>
              <w:br/>
            </w:r>
            <w:r>
              <w:rPr>
                <w:sz w:val="22"/>
                <w:szCs w:val="22"/>
              </w:rPr>
              <w:t>poor communication</w:t>
            </w:r>
            <w:r>
              <w:rPr>
                <w:sz w:val="22"/>
                <w:szCs w:val="22"/>
              </w:rPr>
              <w:br/>
            </w:r>
            <w:r>
              <w:rPr>
                <w:sz w:val="22"/>
                <w:szCs w:val="22"/>
              </w:rPr>
              <w:t xml:space="preserve"> poor fire safety measures for emergencies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Describe what will be done to control the risk. What will you do to make the activity as safe as possible?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Risk of falls from greater than 2 metres.</w:t>
            </w:r>
            <w:r>
              <w:rPr>
                <w:sz w:val="22"/>
                <w:szCs w:val="22"/>
              </w:rPr>
              <w:br/>
            </w:r>
            <w:r>
              <w:rPr>
                <w:sz w:val="22"/>
                <w:szCs w:val="22"/>
              </w:rPr>
              <w:t>Working below roof</w:t>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Access below work area during cleaning</w:t>
            </w:r>
            <w:r>
              <w:rPr>
                <w:sz w:val="22"/>
                <w:szCs w:val="22"/>
              </w:rPr>
              <w:br/>
            </w:r>
            <w:r>
              <w:rPr>
                <w:sz w:val="22"/>
                <w:szCs w:val="22"/>
              </w:rPr>
              <w:t>Damage to or failure of roof anchor points.</w:t>
            </w:r>
            <w:r>
              <w:rPr>
                <w:sz w:val="22"/>
                <w:szCs w:val="22"/>
              </w:rPr>
              <w:br/>
            </w:r>
            <w:r>
              <w:rPr>
                <w:sz w:val="22"/>
                <w:szCs w:val="22"/>
              </w:rPr>
              <w:t>Failure of ropes fittings or harness</w:t>
            </w:r>
            <w:r>
              <w:rPr>
                <w:sz w:val="22"/>
                <w:szCs w:val="22"/>
              </w:rPr>
              <w:br/>
            </w:r>
            <w:r>
              <w:rPr>
                <w:sz w:val="22"/>
                <w:szCs w:val="22"/>
              </w:rPr>
              <w:t>Hit by falling object</w:t>
            </w:r>
            <w:r>
              <w:rPr>
                <w:sz w:val="22"/>
                <w:szCs w:val="22"/>
              </w:rPr>
              <w:br/>
            </w:r>
            <w:r>
              <w:rPr>
                <w:sz w:val="22"/>
                <w:szCs w:val="22"/>
              </w:rPr>
              <w:t>Fall from ladder access</w:t>
            </w:r>
            <w:r>
              <w:rPr>
                <w:sz w:val="22"/>
                <w:szCs w:val="22"/>
              </w:rPr>
              <w:br/>
            </w:r>
            <w:r>
              <w:rPr>
                <w:sz w:val="22"/>
                <w:szCs w:val="22"/>
              </w:rPr>
              <w:t>Hit by falling object</w:t>
            </w:r>
            <w:r>
              <w:rPr>
                <w:sz w:val="22"/>
                <w:szCs w:val="22"/>
              </w:rPr>
              <w:br/>
            </w:r>
            <w:r>
              <w:rPr>
                <w:sz w:val="22"/>
                <w:szCs w:val="22"/>
              </w:rPr>
              <w:t>No emergency plan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distance of a fall, fragile roofs, roof lights, voids, sloping roofs, deteriorating materials, unprotected edges, unstable or poorly maintained access equipment and adverse weather conditions.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Workers to wear Hi visibility vests.</w:t>
            </w:r>
            <w:r>
              <w:rPr>
                <w:sz w:val="22"/>
                <w:szCs w:val="22"/>
              </w:rPr>
              <w:br/>
            </w:r>
            <w:r>
              <w:rPr>
                <w:sz w:val="22"/>
                <w:szCs w:val="22"/>
              </w:rPr>
              <w:t>Wear safety nonslip footwear on ladder</w:t>
            </w:r>
            <w:r>
              <w:rPr>
                <w:sz w:val="22"/>
                <w:szCs w:val="22"/>
              </w:rPr>
              <w:br/>
            </w:r>
            <w:r>
              <w:rPr>
                <w:sz w:val="22"/>
                <w:szCs w:val="22"/>
              </w:rPr>
              <w:t xml:space="preserve">Safe foundation for ladder when setting up with correct angle to wall </w:t>
            </w:r>
            <w:r>
              <w:rPr>
                <w:sz w:val="22"/>
                <w:szCs w:val="22"/>
              </w:rPr>
              <w:br/>
            </w:r>
            <w:r>
              <w:rPr>
                <w:sz w:val="22"/>
                <w:szCs w:val="22"/>
              </w:rPr>
              <w:t>Establish exclusion zone with warning signs. “Workers Overhead”</w:t>
            </w:r>
            <w:r>
              <w:rPr>
                <w:sz w:val="22"/>
                <w:szCs w:val="22"/>
              </w:rPr>
              <w:br/>
            </w:r>
            <w:r>
              <w:rPr>
                <w:sz w:val="22"/>
                <w:szCs w:val="22"/>
              </w:rPr>
              <w:t>Establish an emergency rescue plan (ERP) in case of fall in harness.</w:t>
            </w:r>
            <w:r>
              <w:rPr>
                <w:sz w:val="22"/>
                <w:szCs w:val="22"/>
              </w:rPr>
              <w:br/>
            </w:r>
            <w:r>
              <w:rPr>
                <w:sz w:val="22"/>
                <w:szCs w:val="22"/>
              </w:rPr>
              <w:t>Tool box meeting to confirm understanding of the(ERP)</w:t>
            </w:r>
            <w:r>
              <w:rPr>
                <w:sz w:val="22"/>
                <w:szCs w:val="22"/>
              </w:rPr>
              <w:br/>
            </w:r>
            <w:r>
              <w:rPr>
                <w:sz w:val="22"/>
                <w:szCs w:val="22"/>
              </w:rPr>
              <w:t>First Aid Kit to be available at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CMPNY02Emp01fname Cmpny02EMp01sname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8a204c8ca0a4418"/>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23-08-2020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564217485c84560"/>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8fe8a152-15bc-48d4-8c9e-c9b842d2f3ec.png" Id="R275e3b6129ae4aa1" /><Relationship Type="http://schemas.openxmlformats.org/officeDocument/2006/relationships/image" Target="/word/media/f76fde4b-920a-4b44-8d9f-7b365b22d614.png" Id="Raae774a88fc74860" /><Relationship Type="http://schemas.openxmlformats.org/officeDocument/2006/relationships/image" Target="/word/media/a199ab6c-57b9-45a3-8587-61db1aa6a6e2.jpg" Id="Re00debc55c4d47a0" /><Relationship Type="http://schemas.openxmlformats.org/officeDocument/2006/relationships/image" Target="/word/media/eea126ec-e644-4f4a-a794-fa7ec25e34a0.png" Id="R88a204c8ca0a4418" /></Relationships>
</file>

<file path=word/_rels/header2.xml.rels>&#65279;<?xml version="1.0" encoding="utf-8"?><Relationships xmlns="http://schemas.openxmlformats.org/package/2006/relationships"><Relationship Type="http://schemas.openxmlformats.org/officeDocument/2006/relationships/image" Target="/word/media/8fe8a152-15bc-48d4-8c9e-c9b842d2f3ec.png" Id="R8564217485c845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