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TEST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03-12-2019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4545454545</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2 Way Radio/Comms,Breathing Apparatus,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legislation,</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Not Applicable,High Access Equipment Permit,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r>
        <w:t>&amp;&amp;</w:t>
      </w:r>
      <w:proofErr w:type="spellStart"/>
      <w:r>
        <w:t>PPESection</w:t>
      </w:r>
      <w:proofErr w:type="spellEnd"/>
    </w:p>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Accidental Collisions - Vehicles &amp; others,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Community,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25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Set up suitable exclusion zones including signs to provide access and protect the public.,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00"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20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Operations</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&amp;&amp;Brisull_Contractor/Worker_2127</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&amp;&amp;SignBrisull_Contractor/Worker_date_2127</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e054437bb2b40a5"/>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21dba9cb-9087-4771-bab8-827cdbc93bd8.png" Id="R9e7019b40b93485f" /></Relationships>
</file>

<file path=word/_rels/header2.xml.rels>&#65279;<?xml version="1.0" encoding="utf-8"?><Relationships xmlns="http://schemas.openxmlformats.org/package/2006/relationships"><Relationship Type="http://schemas.openxmlformats.org/officeDocument/2006/relationships/image" Target="/word/media/21dba9cb-9087-4771-bab8-827cdbc93bd8.png" Id="R9e054437bb2b40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