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test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45454654465546</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3,</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1,</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test</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aeaa552479e4607"/>
                          <a:stretch>
                            <a:fillRect/>
                          </a:stretch>
                        </pic:blipFill>
                        <pic:spPr>
                          <a:xfrm>
                            <a:off x="0" y="0"/>
                            <a:ext cx="228624"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Health and Safety, Environment,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Operations</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01391fe1b6249b1"/>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29-05-2019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4492e3f1e0374539"/>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7d84c432-0d7f-43c9-b4f9-38fc50538f22.png" Id="Rae32265edc4942bc" /><Relationship Type="http://schemas.openxmlformats.org/officeDocument/2006/relationships/image" Target="/word/media/6a66ae2c-63cf-49ee-978b-17207ad01a57.png" Id="Rfaeaa552479e4607" /><Relationship Type="http://schemas.openxmlformats.org/officeDocument/2006/relationships/image" Target="/word/media/5bf1d4dd-8223-4457-b41f-f94dc25f392f.png" Id="Rd01391fe1b6249b1" /></Relationships>
</file>

<file path=word/_rels/header2.xml.rels>&#65279;<?xml version="1.0" encoding="utf-8"?><Relationships xmlns="http://schemas.openxmlformats.org/package/2006/relationships"><Relationship Type="http://schemas.openxmlformats.org/officeDocument/2006/relationships/image" Target="/word/media/7d84c432-0d7f-43c9-b4f9-38fc50538f22.png" Id="R4492e3f1e03745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