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WO-000060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r>
              <w:rPr>
                <w:rFonts w:ascii="Arial" w:hAnsi="Arial" w:cs="Arial"/>
                <w:sz w:val="20"/>
                <w:szCs w:val="20"/>
              </w:rPr>
              <w:t>&amp;&amp;</w:t>
            </w:r>
            <w:proofErr w:type="spellStart"/>
            <w:r>
              <w:rPr>
                <w:rFonts w:ascii="Arial" w:hAnsi="Arial" w:cs="Arial"/>
                <w:sz w:val="20"/>
                <w:szCs w:val="20"/>
              </w:rPr>
              <w:t>Assessment_WorkStartDate</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r>
              <w:rPr>
                <w:rFonts w:ascii="Arial" w:hAnsi="Arial" w:cs="Arial"/>
                <w:sz w:val="20"/>
                <w:szCs w:val="20"/>
              </w:rPr>
              <w:t>&amp;&amp;</w:t>
            </w:r>
            <w:proofErr w:type="spellStart"/>
            <w:r>
              <w:rPr>
                <w:rFonts w:ascii="Arial" w:hAnsi="Arial" w:cs="Arial"/>
                <w:sz w:val="20"/>
                <w:szCs w:val="20"/>
              </w:rPr>
              <w:t>Assessment_WorkEndDate</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46546545345</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tesst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PPE RES,test1,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4,test 2,test 2,</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test 4,test 4,</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r>
              <w:rPr>
                <w:rFonts w:ascii="Arial" w:hAnsi="Arial" w:cs="Arial"/>
                <w:sz w:val="20"/>
                <w:szCs w:val="20"/>
              </w:rPr>
              <w:t>&amp;&amp;</w:t>
            </w:r>
            <w:proofErr w:type="spellStart"/>
            <w:r>
              <w:rPr>
                <w:rFonts w:ascii="Arial" w:hAnsi="Arial" w:cs="Arial"/>
                <w:sz w:val="20"/>
                <w:szCs w:val="20"/>
              </w:rPr>
              <w:t>Assessment_WorkStartDate</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PPE RES</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228624" cy="200046"/>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9414ff650754215"/>
                          <a:stretch>
                            <a:fillRect/>
                          </a:stretch>
                        </pic:blipFill>
                        <pic:spPr>
                          <a:xfrm>
                            <a:off x="0" y="0"/>
                            <a:ext cx="228624" cy="200046"/>
                          </a:xfrm>
                          <a:prstGeom prst="rect">
                            <a:avLst/>
                          </a:prstGeom>
                        </pic:spPr>
                      </pic:pic>
                    </a:graphicData>
                  </a:graphic>
                </wp:inline>
              </drawing>
            </w:r>
          </w:p>
        </w:tc>
        <w:tc>
          <w:tcPr>
            <w:tcW w:w="6420" w:type="dxa"/>
            <w:tcBorders>
              <w:right w:val="single" w:sz="4" w:space="0" w:color="000000"/>
              <w:left w:val="single" w:sz="4" w:space="0" w:color="000000"/>
              <w:bottom w:val="single" w:sz="4" w:space="0" w:color="000000"/>
            </w:tcBorders>
          </w:tcPr>
          <w:p>
            <w:pPr/>
            <w:r>
              <w:rPr>
                <w:sz w:val="20"/>
                <w:szCs w:val="20"/>
              </w:rPr>
              <w:t>test1</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304832" cy="200046"/>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cd1335526c840ff"/>
                          <a:stretch>
                            <a:fillRect/>
                          </a:stretch>
                        </pic:blipFill>
                        <pic:spPr>
                          <a:xfrm>
                            <a:off x="0" y="0"/>
                            <a:ext cx="304832" cy="200046"/>
                          </a:xfrm>
                          <a:prstGeom prst="rect">
                            <a:avLst/>
                          </a:prstGeom>
                        </pic:spPr>
                      </pic:pic>
                    </a:graphicData>
                  </a:graphic>
                </wp:inline>
              </drawing>
            </w: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 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04da6c00f884893"/>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01-02-2019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Andrew Leppinus</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&amp;&amp;Andrew_Leppinus_2139</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&amp;&amp;SignAndrew_Leppinus_date_2139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Paul Lardi 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&amp;&amp;Paul_Lardi Worker_2141</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&amp;&amp;SignPaul_Lardi Worker_date_2141</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04da6c00f884893"/>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01-02-2019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Andrew Leppinus</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&amp;&amp;Andrew_Leppinus_2139</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&amp;&amp;SignAndrew_Leppinus_date_2139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Paul Lardi 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&amp;&amp;Paul_Lardi Worker_2141</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&amp;&amp;SignPaul_Lardi Worker_date_2141</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w:t>&amp;&amp;LOGO</w:t>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03989544-6997-466a-8c57-9cb6b6c09944.png" Id="R29414ff650754215" /><Relationship Type="http://schemas.openxmlformats.org/officeDocument/2006/relationships/image" Target="/word/media/37d200f5-5082-4000-b18e-af55ffd7b6ff.png" Id="R7cd1335526c840ff" /><Relationship Type="http://schemas.openxmlformats.org/officeDocument/2006/relationships/image" Target="/word/media/e001f881-0709-4f46-86a3-e48cccbaa2a8.png" Id="R804da6c00f8848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