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For Survey - 01</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WO-000044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26-02-2021</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27-02-2021</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2011,Code of Practice : Work health and safety consultation and co-operation and co-ordination,Code of Practice: Managing risks of hazardous chemicals in the workplace,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Hot Works,High Access equipment permit,Work at Heights/in Ceiling/on Roof,Confined Space,Electrical(HV),Electrical(LV),Excavation,Coring / Penetration,Demolition,Radiation,Blasting,Fuel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26-02-2021</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Hearing protection</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Dust mask</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2 Way Radio/Comm’s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Face shield</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Welding Gauntlets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pPr>
      <w:r>
        <w:rPr>
          <w:rFonts w:ascii="Arial" w:eastAsia="Arial" w:hAnsi="Arial" w:cs="Arial"/>
          <w:sz w:val="22"/>
          <w:szCs w:val="22"/>
        </w:rPr>
        <w:t>&amp;&amp;Steps-table</w:t>
      </w: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Bhai Joga Singh</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&amp;&amp;Bhai_Joga Singh_24</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&amp;&amp;SignBhai_Joga Singh_date_24</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