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test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CL1011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28/09/2020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28/09/2020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Read the Risk Assessment and then sign it to indicate you have read it. Complete the 5-minute survey if attached.</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28/09/2020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RADHEY LST</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&amp;&amp;RADHEY_LST_25</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&amp;&amp;SignRADHEY_LST_date_25</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