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5F"/>
          <w:sz w:val="40"/>
          <w:szCs w:val="40"/>
        </w:rPr>
        <w:t xml:space="preserve">Task 6: Power BI Dashboard</w:t>
      </w:r>
    </w:p>
    <w:p>
      <w:pPr>
        <w:spacing w:after="200" w:before="200"/>
        <w:jc w:val="center"/>
      </w:pPr>
      <w:r>
        <w:rPr>
          <w:i/>
          <w:iCs/>
          <w:color w:val="2C6E91"/>
          <w:sz w:val="26"/>
          <w:szCs w:val="26"/>
        </w:rPr>
        <w:t xml:space="preserve">E-Commerce Sales &amp; Customer Performance Dashboard</w:t>
      </w:r>
    </w:p>
    <w:p>
      <w:pPr>
        <w:spacing w:before="400"/>
        <w:jc w:val="center"/>
      </w:pPr>
      <w:r>
        <w:rPr>
          <w:color w:val="777777"/>
          <w:sz w:val="20"/>
          <w:szCs w:val="20"/>
        </w:rPr>
        <w:t xml:space="preserve">September 2026</w:t>
      </w:r>
    </w:p>
    <w:p>
      <w:pPr>
        <w:pStyle w:val="Heading1"/>
        <w:pBdr>
          <w:bottom w:val="single" w:color="2C6E91" w:sz="8" w:space="4"/>
        </w:pBdr>
        <w:spacing w:after="180" w:before="360"/>
      </w:pPr>
      <w:r>
        <w:rPr>
          <w:b/>
          <w:bCs/>
          <w:color w:val="1F4E5F"/>
        </w:rPr>
        <w:t xml:space="preserve">1. Overview</w:t>
      </w:r>
    </w:p>
    <w:p>
      <w:pPr>
        <w:spacing w:after="160" w:line="300"/>
      </w:pPr>
      <w:r>
        <w:t xml:space="preserve">This document presents an interactive Power BI dashboard design built on the cleaned E-Commerce Sales dataset (1,996 orders, Jan 2023 – Dec 2024). Section 2 shows the dashboard design — a full-resolution mockup rendered directly from the project's real, cleaned data so every number matches the analysis in Tasks 3–5. Section 3 provides the exact step-by-step build guide (data model, DAX measures, visual types, filters, and layout) needed to recreate this as a live, interactive .pbix file in Power BI Desktop, using the accompanying data file ecommerce_sales_for_powerbi.xlsx.</w:t>
      </w:r>
    </w:p>
    <w:p>
      <w:pPr>
        <w:spacing w:after="160" w:line="300"/>
      </w:pPr>
      <w:r>
        <w:t xml:space="preserve">Note: Power BI Desktop is a Windows application and is not available to run directly in this environment, so the dashboard below was designed and laid out here, then rendered as an image for documentation. It reflects exactly what the finished .pbix dashboard will show once the build steps in Section 3 are followed against the provided data file — a matter of minutes in Power BI Desktop.</w:t>
      </w:r>
    </w:p>
    <w:p>
      <w:pPr>
        <w:pStyle w:val="Heading1"/>
        <w:pBdr>
          <w:bottom w:val="single" w:color="2C6E91" w:sz="8" w:space="4"/>
        </w:pBdr>
        <w:spacing w:after="180" w:before="360"/>
      </w:pPr>
      <w:r>
        <w:rPr>
          <w:b/>
          <w:bCs/>
          <w:color w:val="1F4E5F"/>
        </w:rPr>
        <w:t xml:space="preserve">2. Dashboard Design</w:t>
      </w:r>
    </w:p>
    <w:p>
      <w:pPr>
        <w:spacing w:before="200"/>
        <w:jc w:val="center"/>
      </w:pPr>
      <w:r>
        <w:drawing>
          <wp:inline distT="0" distB="0" distL="0" distR="0">
            <wp:extent cx="621982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9825" cy="4714875"/>
                    </a:xfrm>
                    <a:prstGeom prst="rect">
                      <a:avLst/>
                    </a:prstGeom>
                  </pic:spPr>
                </pic:pic>
              </a:graphicData>
            </a:graphic>
          </wp:inline>
        </w:drawing>
      </w:r>
    </w:p>
    <w:p>
      <w:pPr>
        <w:spacing w:after="300" w:before="100"/>
        <w:jc w:val="center"/>
      </w:pPr>
      <w:r>
        <w:rPr>
          <w:i/>
          <w:iCs/>
          <w:color w:val="555555"/>
          <w:sz w:val="20"/>
          <w:szCs w:val="20"/>
        </w:rPr>
        <w:t xml:space="preserve">E-Commerce Sales &amp; Customer Performance Dashboard — full design, rendered from the actual cleaned dataset.</w:t>
      </w:r>
    </w:p>
    <w:p>
      <w:pPr>
        <w:pStyle w:val="Heading2"/>
        <w:spacing w:after="140" w:before="260"/>
      </w:pPr>
      <w:r>
        <w:rPr>
          <w:b/>
          <w:bCs/>
          <w:color w:val="2C6E91"/>
        </w:rPr>
        <w:t xml:space="preserve">2.1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80"/>
              <w:left w:type="dxa" w:w="100"/>
              <w:bottom w:type="dxa" w:w="80"/>
              <w:right w:type="dxa" w:w="100"/>
            </w:tcMar>
          </w:tcPr>
          <w:p>
            <w:r>
              <w:rPr>
                <w:b/>
                <w:bCs/>
                <w:color w:val="FFFFFF"/>
                <w:sz w:val="20"/>
                <w:szCs w:val="20"/>
              </w:rPr>
              <w:t xml:space="preserve">Component</w:t>
            </w:r>
          </w:p>
        </w:tc>
        <w:tc>
          <w:tcPr>
            <w:tcW w:type="dxa" w:w="3120"/>
            <w:shd w:fill="1F4E5F" w:val="clear"/>
            <w:tcMar>
              <w:top w:type="dxa" w:w="80"/>
              <w:left w:type="dxa" w:w="100"/>
              <w:bottom w:type="dxa" w:w="80"/>
              <w:right w:type="dxa" w:w="100"/>
            </w:tcMar>
          </w:tcPr>
          <w:p>
            <w:r>
              <w:rPr>
                <w:b/>
                <w:bCs/>
                <w:color w:val="FFFFFF"/>
                <w:sz w:val="20"/>
                <w:szCs w:val="20"/>
              </w:rPr>
              <w:t xml:space="preserve">Count</w:t>
            </w:r>
          </w:p>
        </w:tc>
        <w:tc>
          <w:tcPr>
            <w:tcW w:type="dxa" w:w="3120"/>
            <w:shd w:fill="1F4E5F" w:val="clear"/>
            <w:tcMar>
              <w:top w:type="dxa" w:w="80"/>
              <w:left w:type="dxa" w:w="100"/>
              <w:bottom w:type="dxa" w:w="80"/>
              <w:right w:type="dxa" w:w="100"/>
            </w:tcMar>
          </w:tcPr>
          <w:p>
            <w:r>
              <w:rPr>
                <w:b/>
                <w:bCs/>
                <w:color w:val="FFFFFF"/>
                <w:sz w:val="20"/>
                <w:szCs w:val="20"/>
              </w:rPr>
              <w:t xml:space="preserve">Details</w:t>
            </w:r>
          </w:p>
        </w:tc>
      </w:tr>
      <w:tr>
        <w:tc>
          <w:tcPr>
            <w:tcW w:type="dxa" w:w="3120"/>
            <w:shd w:fill="FFFFFF" w:val="clear"/>
            <w:tcMar>
              <w:top w:type="dxa" w:w="60"/>
              <w:left w:type="dxa" w:w="100"/>
              <w:bottom w:type="dxa" w:w="60"/>
              <w:right w:type="dxa" w:w="100"/>
            </w:tcMar>
          </w:tcPr>
          <w:p>
            <w:r>
              <w:rPr>
                <w:sz w:val="20"/>
                <w:szCs w:val="20"/>
              </w:rPr>
              <w:t xml:space="preserve">KPI Cards</w:t>
            </w:r>
          </w:p>
        </w:tc>
        <w:tc>
          <w:tcPr>
            <w:tcW w:type="dxa" w:w="3120"/>
            <w:shd w:fill="FFFFFF" w:val="clear"/>
            <w:tcMar>
              <w:top w:type="dxa" w:w="60"/>
              <w:left w:type="dxa" w:w="100"/>
              <w:bottom w:type="dxa" w:w="60"/>
              <w:right w:type="dxa" w:w="100"/>
            </w:tcMar>
          </w:tcPr>
          <w:p>
            <w:r>
              <w:rPr>
                <w:sz w:val="20"/>
                <w:szCs w:val="20"/>
              </w:rPr>
              <w:t xml:space="preserve">5</w:t>
            </w:r>
          </w:p>
        </w:tc>
        <w:tc>
          <w:tcPr>
            <w:tcW w:type="dxa" w:w="3120"/>
            <w:shd w:fill="FFFFFF" w:val="clear"/>
            <w:tcMar>
              <w:top w:type="dxa" w:w="60"/>
              <w:left w:type="dxa" w:w="100"/>
              <w:bottom w:type="dxa" w:w="60"/>
              <w:right w:type="dxa" w:w="100"/>
            </w:tcMar>
          </w:tcPr>
          <w:p>
            <w:r>
              <w:rPr>
                <w:sz w:val="20"/>
                <w:szCs w:val="20"/>
              </w:rPr>
              <w:t xml:space="preserve">Total Revenue, Total Orders, Avg Order Value, Avg Customer Rating, Avg Delivery Time</w:t>
            </w:r>
          </w:p>
        </w:tc>
      </w:tr>
      <w:tr>
        <w:tc>
          <w:tcPr>
            <w:tcW w:type="dxa" w:w="3120"/>
            <w:shd w:fill="EAF2F5" w:val="clear"/>
            <w:tcMar>
              <w:top w:type="dxa" w:w="60"/>
              <w:left w:type="dxa" w:w="100"/>
              <w:bottom w:type="dxa" w:w="60"/>
              <w:right w:type="dxa" w:w="100"/>
            </w:tcMar>
          </w:tcPr>
          <w:p>
            <w:r>
              <w:rPr>
                <w:sz w:val="20"/>
                <w:szCs w:val="20"/>
              </w:rPr>
              <w:t xml:space="preserve">Visualizations</w:t>
            </w:r>
          </w:p>
        </w:tc>
        <w:tc>
          <w:tcPr>
            <w:tcW w:type="dxa" w:w="3120"/>
            <w:shd w:fill="EAF2F5" w:val="clear"/>
            <w:tcMar>
              <w:top w:type="dxa" w:w="60"/>
              <w:left w:type="dxa" w:w="100"/>
              <w:bottom w:type="dxa" w:w="60"/>
              <w:right w:type="dxa" w:w="100"/>
            </w:tcMar>
          </w:tcPr>
          <w:p>
            <w:r>
              <w:rPr>
                <w:sz w:val="20"/>
                <w:szCs w:val="20"/>
              </w:rPr>
              <w:t xml:space="preserve">5</w:t>
            </w:r>
          </w:p>
        </w:tc>
        <w:tc>
          <w:tcPr>
            <w:tcW w:type="dxa" w:w="3120"/>
            <w:shd w:fill="EAF2F5" w:val="clear"/>
            <w:tcMar>
              <w:top w:type="dxa" w:w="60"/>
              <w:left w:type="dxa" w:w="100"/>
              <w:bottom w:type="dxa" w:w="60"/>
              <w:right w:type="dxa" w:w="100"/>
            </w:tcMar>
          </w:tcPr>
          <w:p>
            <w:r>
              <w:rPr>
                <w:sz w:val="20"/>
                <w:szCs w:val="20"/>
              </w:rPr>
              <w:t xml:space="preserve">Line chart, category bar chart, city bar chart, donut chart, dual bar chart (age group + rating)</w:t>
            </w:r>
          </w:p>
        </w:tc>
      </w:tr>
      <w:tr>
        <w:tc>
          <w:tcPr>
            <w:tcW w:type="dxa" w:w="3120"/>
            <w:shd w:fill="FFFFFF" w:val="clear"/>
            <w:tcMar>
              <w:top w:type="dxa" w:w="60"/>
              <w:left w:type="dxa" w:w="100"/>
              <w:bottom w:type="dxa" w:w="60"/>
              <w:right w:type="dxa" w:w="100"/>
            </w:tcMar>
          </w:tcPr>
          <w:p>
            <w:r>
              <w:rPr>
                <w:sz w:val="20"/>
                <w:szCs w:val="20"/>
              </w:rPr>
              <w:t xml:space="preserve">Slicers / Filters</w:t>
            </w:r>
          </w:p>
        </w:tc>
        <w:tc>
          <w:tcPr>
            <w:tcW w:type="dxa" w:w="3120"/>
            <w:shd w:fill="FFFFFF" w:val="clear"/>
            <w:tcMar>
              <w:top w:type="dxa" w:w="60"/>
              <w:left w:type="dxa" w:w="100"/>
              <w:bottom w:type="dxa" w:w="60"/>
              <w:right w:type="dxa" w:w="100"/>
            </w:tcMar>
          </w:tcPr>
          <w:p>
            <w:r>
              <w:rPr>
                <w:sz w:val="20"/>
                <w:szCs w:val="20"/>
              </w:rPr>
              <w:t xml:space="preserve">5</w:t>
            </w:r>
          </w:p>
        </w:tc>
        <w:tc>
          <w:tcPr>
            <w:tcW w:type="dxa" w:w="3120"/>
            <w:shd w:fill="FFFFFF" w:val="clear"/>
            <w:tcMar>
              <w:top w:type="dxa" w:w="60"/>
              <w:left w:type="dxa" w:w="100"/>
              <w:bottom w:type="dxa" w:w="60"/>
              <w:right w:type="dxa" w:w="100"/>
            </w:tcMar>
          </w:tcPr>
          <w:p>
            <w:r>
              <w:rPr>
                <w:sz w:val="20"/>
                <w:szCs w:val="20"/>
              </w:rPr>
              <w:t xml:space="preserve">Product Category, City, Payment Method, Gender, Order Date Range</w:t>
            </w:r>
          </w:p>
        </w:tc>
      </w:tr>
      <w:tr>
        <w:tc>
          <w:tcPr>
            <w:tcW w:type="dxa" w:w="3120"/>
            <w:shd w:fill="EAF2F5" w:val="clear"/>
            <w:tcMar>
              <w:top w:type="dxa" w:w="60"/>
              <w:left w:type="dxa" w:w="100"/>
              <w:bottom w:type="dxa" w:w="60"/>
              <w:right w:type="dxa" w:w="100"/>
            </w:tcMar>
          </w:tcPr>
          <w:p>
            <w:r>
              <w:rPr>
                <w:sz w:val="20"/>
                <w:szCs w:val="20"/>
              </w:rPr>
              <w:t xml:space="preserve">Dashboard Title</w:t>
            </w:r>
          </w:p>
        </w:tc>
        <w:tc>
          <w:tcPr>
            <w:tcW w:type="dxa" w:w="3120"/>
            <w:shd w:fill="EAF2F5" w:val="clear"/>
            <w:tcMar>
              <w:top w:type="dxa" w:w="60"/>
              <w:left w:type="dxa" w:w="100"/>
              <w:bottom w:type="dxa" w:w="60"/>
              <w:right w:type="dxa" w:w="100"/>
            </w:tcMar>
          </w:tcPr>
          <w:p>
            <w:r>
              <w:rPr>
                <w:sz w:val="20"/>
                <w:szCs w:val="20"/>
              </w:rPr>
              <w:t xml:space="preserve">1</w:t>
            </w:r>
          </w:p>
        </w:tc>
        <w:tc>
          <w:tcPr>
            <w:tcW w:type="dxa" w:w="3120"/>
            <w:shd w:fill="EAF2F5" w:val="clear"/>
            <w:tcMar>
              <w:top w:type="dxa" w:w="60"/>
              <w:left w:type="dxa" w:w="100"/>
              <w:bottom w:type="dxa" w:w="60"/>
              <w:right w:type="dxa" w:w="100"/>
            </w:tcMar>
          </w:tcPr>
          <w:p>
            <w:r>
              <w:rPr>
                <w:sz w:val="20"/>
                <w:szCs w:val="20"/>
              </w:rPr>
              <w:t xml:space="preserve">"E-Commerce Sales &amp; Customer Performance Dashboard" with domain, date range, and data source subtitle</w:t>
            </w:r>
          </w:p>
        </w:tc>
      </w:tr>
    </w:tbl>
    <w:p>
      <w:pPr>
        <w:pStyle w:val="Heading2"/>
        <w:spacing w:after="140" w:before="260"/>
      </w:pPr>
      <w:r>
        <w:rPr>
          <w:b/>
          <w:bCs/>
          <w:color w:val="2C6E91"/>
        </w:rPr>
        <w:t xml:space="preserve">2.2 KPI Cards —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80"/>
              <w:left w:type="dxa" w:w="100"/>
              <w:bottom w:type="dxa" w:w="80"/>
              <w:right w:type="dxa" w:w="100"/>
            </w:tcMar>
          </w:tcPr>
          <w:p>
            <w:r>
              <w:rPr>
                <w:b/>
                <w:bCs/>
                <w:color w:val="FFFFFF"/>
                <w:sz w:val="20"/>
                <w:szCs w:val="20"/>
              </w:rPr>
              <w:t xml:space="preserve">KPI</w:t>
            </w:r>
          </w:p>
        </w:tc>
        <w:tc>
          <w:tcPr>
            <w:tcW w:type="dxa" w:w="3120"/>
            <w:shd w:fill="1F4E5F" w:val="clear"/>
            <w:tcMar>
              <w:top w:type="dxa" w:w="80"/>
              <w:left w:type="dxa" w:w="100"/>
              <w:bottom w:type="dxa" w:w="80"/>
              <w:right w:type="dxa" w:w="100"/>
            </w:tcMar>
          </w:tcPr>
          <w:p>
            <w:r>
              <w:rPr>
                <w:b/>
                <w:bCs/>
                <w:color w:val="FFFFFF"/>
                <w:sz w:val="20"/>
                <w:szCs w:val="20"/>
              </w:rPr>
              <w:t xml:space="preserve">Value</w:t>
            </w:r>
          </w:p>
        </w:tc>
        <w:tc>
          <w:tcPr>
            <w:tcW w:type="dxa" w:w="3120"/>
            <w:shd w:fill="1F4E5F" w:val="clear"/>
            <w:tcMar>
              <w:top w:type="dxa" w:w="80"/>
              <w:left w:type="dxa" w:w="100"/>
              <w:bottom w:type="dxa" w:w="80"/>
              <w:right w:type="dxa" w:w="100"/>
            </w:tcMar>
          </w:tcPr>
          <w:p>
            <w:r>
              <w:rPr>
                <w:b/>
                <w:bCs/>
                <w:color w:val="FFFFFF"/>
                <w:sz w:val="20"/>
                <w:szCs w:val="20"/>
              </w:rPr>
              <w:t xml:space="preserve">Why it matters</w:t>
            </w:r>
          </w:p>
        </w:tc>
      </w:tr>
      <w:tr>
        <w:tc>
          <w:tcPr>
            <w:tcW w:type="dxa" w:w="3120"/>
            <w:shd w:fill="FFFFFF" w:val="clear"/>
            <w:tcMar>
              <w:top w:type="dxa" w:w="60"/>
              <w:left w:type="dxa" w:w="100"/>
              <w:bottom w:type="dxa" w:w="60"/>
              <w:right w:type="dxa" w:w="100"/>
            </w:tcMar>
          </w:tcPr>
          <w:p>
            <w:r>
              <w:rPr>
                <w:sz w:val="20"/>
                <w:szCs w:val="20"/>
              </w:rPr>
              <w:t xml:space="preserve">Total Revenue</w:t>
            </w:r>
          </w:p>
        </w:tc>
        <w:tc>
          <w:tcPr>
            <w:tcW w:type="dxa" w:w="3120"/>
            <w:shd w:fill="FFFFFF" w:val="clear"/>
            <w:tcMar>
              <w:top w:type="dxa" w:w="60"/>
              <w:left w:type="dxa" w:w="100"/>
              <w:bottom w:type="dxa" w:w="60"/>
              <w:right w:type="dxa" w:w="100"/>
            </w:tcMar>
          </w:tcPr>
          <w:p>
            <w:r>
              <w:rPr>
                <w:sz w:val="20"/>
                <w:szCs w:val="20"/>
              </w:rPr>
              <w:t xml:space="preserve">₹1.11 Cr</w:t>
            </w:r>
          </w:p>
        </w:tc>
        <w:tc>
          <w:tcPr>
            <w:tcW w:type="dxa" w:w="3120"/>
            <w:shd w:fill="FFFFFF" w:val="clear"/>
            <w:tcMar>
              <w:top w:type="dxa" w:w="60"/>
              <w:left w:type="dxa" w:w="100"/>
              <w:bottom w:type="dxa" w:w="60"/>
              <w:right w:type="dxa" w:w="100"/>
            </w:tcMar>
          </w:tcPr>
          <w:p>
            <w:r>
              <w:rPr>
                <w:sz w:val="20"/>
                <w:szCs w:val="20"/>
              </w:rPr>
              <w:t xml:space="preserve">Top-line business performance across the full period</w:t>
            </w:r>
          </w:p>
        </w:tc>
      </w:tr>
      <w:tr>
        <w:tc>
          <w:tcPr>
            <w:tcW w:type="dxa" w:w="3120"/>
            <w:shd w:fill="EAF2F5" w:val="clear"/>
            <w:tcMar>
              <w:top w:type="dxa" w:w="60"/>
              <w:left w:type="dxa" w:w="100"/>
              <w:bottom w:type="dxa" w:w="60"/>
              <w:right w:type="dxa" w:w="100"/>
            </w:tcMar>
          </w:tcPr>
          <w:p>
            <w:r>
              <w:rPr>
                <w:sz w:val="20"/>
                <w:szCs w:val="20"/>
              </w:rPr>
              <w:t xml:space="preserve">Total Orders</w:t>
            </w:r>
          </w:p>
        </w:tc>
        <w:tc>
          <w:tcPr>
            <w:tcW w:type="dxa" w:w="3120"/>
            <w:shd w:fill="EAF2F5" w:val="clear"/>
            <w:tcMar>
              <w:top w:type="dxa" w:w="60"/>
              <w:left w:type="dxa" w:w="100"/>
              <w:bottom w:type="dxa" w:w="60"/>
              <w:right w:type="dxa" w:w="100"/>
            </w:tcMar>
          </w:tcPr>
          <w:p>
            <w:r>
              <w:rPr>
                <w:sz w:val="20"/>
                <w:szCs w:val="20"/>
              </w:rPr>
              <w:t xml:space="preserve">1,996</w:t>
            </w:r>
          </w:p>
        </w:tc>
        <w:tc>
          <w:tcPr>
            <w:tcW w:type="dxa" w:w="3120"/>
            <w:shd w:fill="EAF2F5" w:val="clear"/>
            <w:tcMar>
              <w:top w:type="dxa" w:w="60"/>
              <w:left w:type="dxa" w:w="100"/>
              <w:bottom w:type="dxa" w:w="60"/>
              <w:right w:type="dxa" w:w="100"/>
            </w:tcMar>
          </w:tcPr>
          <w:p>
            <w:r>
              <w:rPr>
                <w:sz w:val="20"/>
                <w:szCs w:val="20"/>
              </w:rPr>
              <w:t xml:space="preserve">Order volume; denominator for all rate-based metrics</w:t>
            </w:r>
          </w:p>
        </w:tc>
      </w:tr>
      <w:tr>
        <w:tc>
          <w:tcPr>
            <w:tcW w:type="dxa" w:w="3120"/>
            <w:shd w:fill="FFFFFF" w:val="clear"/>
            <w:tcMar>
              <w:top w:type="dxa" w:w="60"/>
              <w:left w:type="dxa" w:w="100"/>
              <w:bottom w:type="dxa" w:w="60"/>
              <w:right w:type="dxa" w:w="100"/>
            </w:tcMar>
          </w:tcPr>
          <w:p>
            <w:r>
              <w:rPr>
                <w:sz w:val="20"/>
                <w:szCs w:val="20"/>
              </w:rPr>
              <w:t xml:space="preserve">Avg Order Value (AOV)</w:t>
            </w:r>
          </w:p>
        </w:tc>
        <w:tc>
          <w:tcPr>
            <w:tcW w:type="dxa" w:w="3120"/>
            <w:shd w:fill="FFFFFF" w:val="clear"/>
            <w:tcMar>
              <w:top w:type="dxa" w:w="60"/>
              <w:left w:type="dxa" w:w="100"/>
              <w:bottom w:type="dxa" w:w="60"/>
              <w:right w:type="dxa" w:w="100"/>
            </w:tcMar>
          </w:tcPr>
          <w:p>
            <w:r>
              <w:rPr>
                <w:sz w:val="20"/>
                <w:szCs w:val="20"/>
              </w:rPr>
              <w:t xml:space="preserve">₹5,570</w:t>
            </w:r>
          </w:p>
        </w:tc>
        <w:tc>
          <w:tcPr>
            <w:tcW w:type="dxa" w:w="3120"/>
            <w:shd w:fill="FFFFFF" w:val="clear"/>
            <w:tcMar>
              <w:top w:type="dxa" w:w="60"/>
              <w:left w:type="dxa" w:w="100"/>
              <w:bottom w:type="dxa" w:w="60"/>
              <w:right w:type="dxa" w:w="100"/>
            </w:tcMar>
          </w:tcPr>
          <w:p>
            <w:r>
              <w:rPr>
                <w:sz w:val="20"/>
                <w:szCs w:val="20"/>
              </w:rPr>
              <w:t xml:space="preserve">Revenue efficiency per transaction; median (₹1,933) shown alongside to flag the right-skew</w:t>
            </w:r>
          </w:p>
        </w:tc>
      </w:tr>
      <w:tr>
        <w:tc>
          <w:tcPr>
            <w:tcW w:type="dxa" w:w="3120"/>
            <w:shd w:fill="EAF2F5" w:val="clear"/>
            <w:tcMar>
              <w:top w:type="dxa" w:w="60"/>
              <w:left w:type="dxa" w:w="100"/>
              <w:bottom w:type="dxa" w:w="60"/>
              <w:right w:type="dxa" w:w="100"/>
            </w:tcMar>
          </w:tcPr>
          <w:p>
            <w:r>
              <w:rPr>
                <w:sz w:val="20"/>
                <w:szCs w:val="20"/>
              </w:rPr>
              <w:t xml:space="preserve">Avg Customer Rating</w:t>
            </w:r>
          </w:p>
        </w:tc>
        <w:tc>
          <w:tcPr>
            <w:tcW w:type="dxa" w:w="3120"/>
            <w:shd w:fill="EAF2F5" w:val="clear"/>
            <w:tcMar>
              <w:top w:type="dxa" w:w="60"/>
              <w:left w:type="dxa" w:w="100"/>
              <w:bottom w:type="dxa" w:w="60"/>
              <w:right w:type="dxa" w:w="100"/>
            </w:tcMar>
          </w:tcPr>
          <w:p>
            <w:r>
              <w:rPr>
                <w:sz w:val="20"/>
                <w:szCs w:val="20"/>
              </w:rPr>
              <w:t xml:space="preserve">3.89 / 5</w:t>
            </w:r>
          </w:p>
        </w:tc>
        <w:tc>
          <w:tcPr>
            <w:tcW w:type="dxa" w:w="3120"/>
            <w:shd w:fill="EAF2F5" w:val="clear"/>
            <w:tcMar>
              <w:top w:type="dxa" w:w="60"/>
              <w:left w:type="dxa" w:w="100"/>
              <w:bottom w:type="dxa" w:w="60"/>
              <w:right w:type="dxa" w:w="100"/>
            </w:tcMar>
          </w:tcPr>
          <w:p>
            <w:r>
              <w:rPr>
                <w:sz w:val="20"/>
                <w:szCs w:val="20"/>
              </w:rPr>
              <w:t xml:space="preserve">Overall customer satisfaction signal</w:t>
            </w:r>
          </w:p>
        </w:tc>
      </w:tr>
      <w:tr>
        <w:tc>
          <w:tcPr>
            <w:tcW w:type="dxa" w:w="3120"/>
            <w:shd w:fill="FFFFFF" w:val="clear"/>
            <w:tcMar>
              <w:top w:type="dxa" w:w="60"/>
              <w:left w:type="dxa" w:w="100"/>
              <w:bottom w:type="dxa" w:w="60"/>
              <w:right w:type="dxa" w:w="100"/>
            </w:tcMar>
          </w:tcPr>
          <w:p>
            <w:r>
              <w:rPr>
                <w:sz w:val="20"/>
                <w:szCs w:val="20"/>
              </w:rPr>
              <w:t xml:space="preserve">Avg Delivery Time</w:t>
            </w:r>
          </w:p>
        </w:tc>
        <w:tc>
          <w:tcPr>
            <w:tcW w:type="dxa" w:w="3120"/>
            <w:shd w:fill="FFFFFF" w:val="clear"/>
            <w:tcMar>
              <w:top w:type="dxa" w:w="60"/>
              <w:left w:type="dxa" w:w="100"/>
              <w:bottom w:type="dxa" w:w="60"/>
              <w:right w:type="dxa" w:w="100"/>
            </w:tcMar>
          </w:tcPr>
          <w:p>
            <w:r>
              <w:rPr>
                <w:sz w:val="20"/>
                <w:szCs w:val="20"/>
              </w:rPr>
              <w:t xml:space="preserve">4.58 days</w:t>
            </w:r>
          </w:p>
        </w:tc>
        <w:tc>
          <w:tcPr>
            <w:tcW w:type="dxa" w:w="3120"/>
            <w:shd w:fill="FFFFFF" w:val="clear"/>
            <w:tcMar>
              <w:top w:type="dxa" w:w="60"/>
              <w:left w:type="dxa" w:w="100"/>
              <w:bottom w:type="dxa" w:w="60"/>
              <w:right w:type="dxa" w:w="100"/>
            </w:tcMar>
          </w:tcPr>
          <w:p>
            <w:r>
              <w:rPr>
                <w:sz w:val="20"/>
                <w:szCs w:val="20"/>
              </w:rPr>
              <w:t xml:space="preserve">Operational/fulfilment performance</w:t>
            </w:r>
          </w:p>
        </w:tc>
      </w:tr>
    </w:tbl>
    <w:p>
      <w:pPr>
        <w:pStyle w:val="Heading2"/>
        <w:spacing w:after="140" w:before="260"/>
      </w:pPr>
      <w:r>
        <w:rPr>
          <w:b/>
          <w:bCs/>
          <w:color w:val="2C6E91"/>
        </w:rPr>
        <w:t xml:space="preserve">2.3 Visualizations and What They Communicate</w:t>
      </w:r>
    </w:p>
    <w:p>
      <w:pPr>
        <w:pStyle w:val="ListParagraph"/>
        <w:numPr>
          <w:ilvl w:val="0"/>
          <w:numId w:val="2"/>
        </w:numPr>
        <w:spacing w:after="80"/>
      </w:pPr>
      <w:r>
        <w:t xml:space="preserve">Monthly Revenue Trend (line chart): reveals the mid-2024 revenue spike identified in the EDA and overall month-to-month volatility.</w:t>
      </w:r>
    </w:p>
    <w:p>
      <w:pPr>
        <w:pStyle w:val="ListParagraph"/>
        <w:numPr>
          <w:ilvl w:val="0"/>
          <w:numId w:val="2"/>
        </w:numPr>
        <w:spacing w:after="80"/>
      </w:pPr>
      <w:r>
        <w:t xml:space="preserve">Revenue by Product Category (bar chart): shows Electronics contributing ~63% of total revenue despite similar order counts to other categories.</w:t>
      </w:r>
    </w:p>
    <w:p>
      <w:pPr>
        <w:pStyle w:val="ListParagraph"/>
        <w:numPr>
          <w:ilvl w:val="0"/>
          <w:numId w:val="2"/>
        </w:numPr>
        <w:spacing w:after="80"/>
      </w:pPr>
      <w:r>
        <w:t xml:space="preserve">Top Cities by Revenue (horizontal bar chart): shows a geographically diversified base, with Mumbai, Hyderabad, and Delhi leading.</w:t>
      </w:r>
    </w:p>
    <w:p>
      <w:pPr>
        <w:pStyle w:val="ListParagraph"/>
        <w:numPr>
          <w:ilvl w:val="0"/>
          <w:numId w:val="2"/>
        </w:numPr>
        <w:spacing w:after="80"/>
      </w:pPr>
      <w:r>
        <w:t xml:space="preserve">Order Share by Payment Method (donut chart): confirms no single payment channel dominates (18–22% each).</w:t>
      </w:r>
    </w:p>
    <w:p>
      <w:pPr>
        <w:pStyle w:val="ListParagraph"/>
        <w:numPr>
          <w:ilvl w:val="0"/>
          <w:numId w:val="2"/>
        </w:numPr>
        <w:spacing w:after="80"/>
      </w:pPr>
      <w:r>
        <w:t xml:space="preserve">Avg Order Value by Age Group / Avg Rating by Category (combined panel): surfaces the 36–55 age band as the highest-value segment, and shows ratings are consistently strong (3.84–3.95) across all categories.</w:t>
      </w:r>
    </w:p>
    <w:p>
      <w:r>
        <w:br w:type="page"/>
      </w:r>
    </w:p>
    <w:p>
      <w:pPr>
        <w:pStyle w:val="Heading1"/>
        <w:pBdr>
          <w:bottom w:val="single" w:color="2C6E91" w:sz="8" w:space="4"/>
        </w:pBdr>
        <w:spacing w:after="180" w:before="360"/>
      </w:pPr>
      <w:r>
        <w:rPr>
          <w:b/>
          <w:bCs/>
          <w:color w:val="1F4E5F"/>
        </w:rPr>
        <w:t xml:space="preserve">3. Power BI Build Guide (Recreate as a Live .pbix)</w:t>
      </w:r>
    </w:p>
    <w:p>
      <w:pPr>
        <w:spacing w:after="160" w:line="300"/>
      </w:pPr>
      <w:r>
        <w:t xml:space="preserve">Follow these steps in Power BI Desktop to recreate the dashboard above as a fully interactive report, using the supplied ecommerce_sales_for_powerbi.xlsx data file.</w:t>
      </w:r>
    </w:p>
    <w:p>
      <w:pPr>
        <w:pStyle w:val="Heading2"/>
        <w:spacing w:after="140" w:before="260"/>
      </w:pPr>
      <w:r>
        <w:rPr>
          <w:b/>
          <w:bCs/>
          <w:color w:val="2C6E91"/>
        </w:rPr>
        <w:t xml:space="preserve">3.1 Load and Prepare Data</w:t>
      </w:r>
    </w:p>
    <w:p>
      <w:pPr>
        <w:pStyle w:val="ListParagraph"/>
        <w:numPr>
          <w:ilvl w:val="0"/>
          <w:numId w:val="3"/>
        </w:numPr>
        <w:spacing w:after="100"/>
      </w:pPr>
      <w:r>
        <w:t xml:space="preserve">Open Power BI Desktop → Get Data → Excel workbook → select ecommerce_sales_for_powerbi.xlsx → load the SalesData sheet.</w:t>
      </w:r>
    </w:p>
    <w:p>
      <w:pPr>
        <w:pStyle w:val="ListParagraph"/>
        <w:numPr>
          <w:ilvl w:val="0"/>
          <w:numId w:val="3"/>
        </w:numPr>
        <w:spacing w:after="100"/>
      </w:pPr>
      <w:r>
        <w:t xml:space="preserve">In Power Query Editor, confirm data types: OrderDate as Date, Price/TotalAmount/ShippingCost as Decimal Number, Quantity/DeliveryDays/OrderYear as Whole Number, Rating as Decimal Number, and all remaining text columns as Text.</w:t>
      </w:r>
    </w:p>
    <w:p>
      <w:pPr>
        <w:pStyle w:val="ListParagraph"/>
        <w:numPr>
          <w:ilvl w:val="0"/>
          <w:numId w:val="3"/>
        </w:numPr>
        <w:spacing w:after="100"/>
      </w:pPr>
      <w:r>
        <w:t xml:space="preserve">Create a dedicated Date table for time intelligence: Modeling → New Table, then use the DAX formula below, and mark it as a Date Table (Mark as Date Table → OrderDate).</w:t>
      </w:r>
    </w:p>
    <w:p>
      <w:pPr>
        <w:shd w:fill="F0F0F0" w:val="clear"/>
        <w:spacing w:after="160"/>
      </w:pPr>
      <w:r>
        <w:rPr>
          <w:rFonts w:ascii="Consolas" w:cs="Consolas" w:eastAsia="Consolas" w:hAnsi="Consolas"/>
          <w:color w:val="1a1a1a"/>
          <w:sz w:val="19"/>
          <w:szCs w:val="19"/>
        </w:rPr>
        <w:t xml:space="preserve">DateTable = CALENDAR(MIN(SalesData[OrderDate]), MAX(SalesData[OrderDate]))</w:t>
      </w:r>
    </w:p>
    <w:p>
      <w:pPr>
        <w:pStyle w:val="ListParagraph"/>
        <w:numPr>
          <w:ilvl w:val="0"/>
          <w:numId w:val="3"/>
        </w:numPr>
        <w:spacing w:after="100"/>
      </w:pPr>
      <w:r>
        <w:t xml:space="preserve">Relate DateTable[Date] (1) to SalesData[OrderDate] (many) in the Model view.</w:t>
      </w:r>
    </w:p>
    <w:p>
      <w:pPr>
        <w:pStyle w:val="Heading2"/>
        <w:spacing w:after="140" w:before="260"/>
      </w:pPr>
      <w:r>
        <w:rPr>
          <w:b/>
          <w:bCs/>
          <w:color w:val="2C6E91"/>
        </w:rPr>
        <w:t xml:space="preserve">3.2 Create DAX Measures (for KPI Cards)</w:t>
      </w:r>
    </w:p>
    <w:p>
      <w:pPr>
        <w:spacing w:after="160" w:line="300"/>
      </w:pPr>
      <w:r>
        <w:t xml:space="preserve">Create the following measures in a new table (e.g., _Measures) via Modeling → New Measure:</w:t>
      </w:r>
    </w:p>
    <w:p>
      <w:pPr>
        <w:shd w:fill="F0F0F0" w:val="clear"/>
        <w:spacing w:after="160"/>
      </w:pPr>
      <w:r>
        <w:rPr>
          <w:rFonts w:ascii="Consolas" w:cs="Consolas" w:eastAsia="Consolas" w:hAnsi="Consolas"/>
          <w:color w:val="1a1a1a"/>
          <w:sz w:val="19"/>
          <w:szCs w:val="19"/>
        </w:rPr>
        <w:t xml:space="preserve">Total Revenue = SUM(SalesData[TotalAmount])</w:t>
      </w:r>
    </w:p>
    <w:p>
      <w:pPr>
        <w:shd w:fill="F0F0F0" w:val="clear"/>
        <w:spacing w:after="160"/>
      </w:pPr>
      <w:r>
        <w:rPr>
          <w:rFonts w:ascii="Consolas" w:cs="Consolas" w:eastAsia="Consolas" w:hAnsi="Consolas"/>
          <w:color w:val="1a1a1a"/>
          <w:sz w:val="19"/>
          <w:szCs w:val="19"/>
        </w:rPr>
        <w:t xml:space="preserve">Total Orders = DISTINCTCOUNT(SalesData[OrderID])</w:t>
      </w:r>
    </w:p>
    <w:p>
      <w:pPr>
        <w:shd w:fill="F0F0F0" w:val="clear"/>
        <w:spacing w:after="160"/>
      </w:pPr>
      <w:r>
        <w:rPr>
          <w:rFonts w:ascii="Consolas" w:cs="Consolas" w:eastAsia="Consolas" w:hAnsi="Consolas"/>
          <w:color w:val="1a1a1a"/>
          <w:sz w:val="19"/>
          <w:szCs w:val="19"/>
        </w:rPr>
        <w:t xml:space="preserve">Avg Order Value = DIVIDE([Total Revenue], [Total Orders])</w:t>
      </w:r>
    </w:p>
    <w:p>
      <w:pPr>
        <w:shd w:fill="F0F0F0" w:val="clear"/>
        <w:spacing w:after="160"/>
      </w:pPr>
      <w:r>
        <w:rPr>
          <w:rFonts w:ascii="Consolas" w:cs="Consolas" w:eastAsia="Consolas" w:hAnsi="Consolas"/>
          <w:color w:val="1a1a1a"/>
          <w:sz w:val="19"/>
          <w:szCs w:val="19"/>
        </w:rPr>
        <w:t xml:space="preserve">Median Order Value = MEDIAN(SalesData[TotalAmount])</w:t>
      </w:r>
    </w:p>
    <w:p>
      <w:pPr>
        <w:shd w:fill="F0F0F0" w:val="clear"/>
        <w:spacing w:after="160"/>
      </w:pPr>
      <w:r>
        <w:rPr>
          <w:rFonts w:ascii="Consolas" w:cs="Consolas" w:eastAsia="Consolas" w:hAnsi="Consolas"/>
          <w:color w:val="1a1a1a"/>
          <w:sz w:val="19"/>
          <w:szCs w:val="19"/>
        </w:rPr>
        <w:t xml:space="preserve">Avg Rating = AVERAGE(SalesData[Rating])</w:t>
      </w:r>
    </w:p>
    <w:p>
      <w:pPr>
        <w:shd w:fill="F0F0F0" w:val="clear"/>
        <w:spacing w:after="160"/>
      </w:pPr>
      <w:r>
        <w:rPr>
          <w:rFonts w:ascii="Consolas" w:cs="Consolas" w:eastAsia="Consolas" w:hAnsi="Consolas"/>
          <w:color w:val="1a1a1a"/>
          <w:sz w:val="19"/>
          <w:szCs w:val="19"/>
        </w:rPr>
        <w:t xml:space="preserve">Avg Delivery Days = AVERAGE(SalesData[DeliveryDays])</w:t>
      </w:r>
    </w:p>
    <w:p>
      <w:pPr>
        <w:shd w:fill="F0F0F0" w:val="clear"/>
        <w:spacing w:after="160"/>
      </w:pPr>
      <w:r>
        <w:rPr>
          <w:rFonts w:ascii="Consolas" w:cs="Consolas" w:eastAsia="Consolas" w:hAnsi="Consolas"/>
          <w:color w:val="1a1a1a"/>
          <w:sz w:val="19"/>
          <w:szCs w:val="19"/>
        </w:rPr>
        <w:t xml:space="preserve">Total Units Sold = SUM(SalesData[Quantity])</w:t>
      </w:r>
    </w:p>
    <w:p>
      <w:pPr>
        <w:shd w:fill="F0F0F0" w:val="clear"/>
        <w:spacing w:after="160"/>
      </w:pPr>
      <w:r>
        <w:rPr>
          <w:rFonts w:ascii="Consolas" w:cs="Consolas" w:eastAsia="Consolas" w:hAnsi="Consolas"/>
          <w:color w:val="1a1a1a"/>
          <w:sz w:val="19"/>
          <w:szCs w:val="19"/>
        </w:rPr>
        <w:t xml:space="preserve">Unique Customers = DISTINCTCOUNT(SalesData[CustomerID])</w:t>
      </w:r>
    </w:p>
    <w:p>
      <w:pPr>
        <w:shd w:fill="F0F0F0" w:val="clear"/>
        <w:spacing w:after="160"/>
      </w:pPr>
      <w:r>
        <w:rPr>
          <w:rFonts w:ascii="Consolas" w:cs="Consolas" w:eastAsia="Consolas" w:hAnsi="Consolas"/>
          <w:color w:val="1a1a1a"/>
          <w:sz w:val="19"/>
          <w:szCs w:val="19"/>
        </w:rPr>
        <w:t xml:space="preserve">Revenue Prior Period = CALCULATE([Total Revenue], DATEADD(DateTable[Date], -1, YEAR))</w:t>
      </w:r>
    </w:p>
    <w:p>
      <w:pPr>
        <w:shd w:fill="F0F0F0" w:val="clear"/>
        <w:spacing w:after="160"/>
      </w:pPr>
      <w:r>
        <w:rPr>
          <w:rFonts w:ascii="Consolas" w:cs="Consolas" w:eastAsia="Consolas" w:hAnsi="Consolas"/>
          <w:color w:val="1a1a1a"/>
          <w:sz w:val="19"/>
          <w:szCs w:val="19"/>
        </w:rPr>
        <w:t xml:space="preserve">Revenue Growth % = DIVIDE([Total Revenue] - [Revenue Prior Period], [Revenue Prior Period])</w:t>
      </w:r>
    </w:p>
    <w:p>
      <w:pPr>
        <w:spacing w:after="160" w:line="300"/>
      </w:pPr>
      <w:r>
        <w:t xml:space="preserve">Format 'Total Revenue' and 'Revenue Prior Period' with a currency (₹) format and use thousands/lakh display units; format 'Revenue Growth %' as a percentage.</w:t>
      </w:r>
    </w:p>
    <w:p>
      <w:pPr>
        <w:pStyle w:val="Heading2"/>
        <w:spacing w:after="140" w:before="260"/>
      </w:pPr>
      <w:r>
        <w:rPr>
          <w:b/>
          <w:bCs/>
          <w:color w:val="2C6E91"/>
        </w:rPr>
        <w:t xml:space="preserve">3.3 Build the KPI Cards</w:t>
      </w:r>
    </w:p>
    <w:p>
      <w:pPr>
        <w:pStyle w:val="ListParagraph"/>
        <w:numPr>
          <w:ilvl w:val="0"/>
          <w:numId w:val="3"/>
        </w:numPr>
        <w:spacing w:after="100"/>
      </w:pPr>
      <w:r>
        <w:t xml:space="preserve">Insert → Card (New Card visual, recommended for Power BI's modern card style) for each of: Total Revenue, Total Orders, Avg Order Value, Avg Rating, Avg Delivery Days.</w:t>
      </w:r>
    </w:p>
    <w:p>
      <w:pPr>
        <w:pStyle w:val="ListParagraph"/>
        <w:numPr>
          <w:ilvl w:val="0"/>
          <w:numId w:val="3"/>
        </w:numPr>
        <w:spacing w:after="100"/>
      </w:pPr>
      <w:r>
        <w:t xml:space="preserve">Set each card's data label to the corresponding measure; add a small callout/comparison value (e.g., Revenue Growth %) as the card's secondary field where supported.</w:t>
      </w:r>
    </w:p>
    <w:p>
      <w:pPr>
        <w:pStyle w:val="ListParagraph"/>
        <w:numPr>
          <w:ilvl w:val="0"/>
          <w:numId w:val="3"/>
        </w:numPr>
        <w:spacing w:after="100"/>
      </w:pPr>
      <w:r>
        <w:t xml:space="preserve">Arrange the 5 cards in a single horizontal row at the top of the canvas, directly below the title.</w:t>
      </w:r>
    </w:p>
    <w:p>
      <w:pPr>
        <w:pStyle w:val="Heading2"/>
        <w:spacing w:after="140" w:before="260"/>
      </w:pPr>
      <w:r>
        <w:rPr>
          <w:b/>
          <w:bCs/>
          <w:color w:val="2C6E91"/>
        </w:rPr>
        <w:t xml:space="preserve">3.4 Build the 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3200"/>
        <w:gridCol w:w="2660"/>
      </w:tblGrid>
      <w:tr>
        <w:trPr>
          <w:tblHeader/>
        </w:trPr>
        <w:tc>
          <w:tcPr>
            <w:tcW w:type="dxa" w:w="1900"/>
            <w:shd w:fill="1F4E5F" w:val="clear"/>
            <w:tcMar>
              <w:top w:type="dxa" w:w="80"/>
              <w:left w:type="dxa" w:w="100"/>
              <w:bottom w:type="dxa" w:w="80"/>
              <w:right w:type="dxa" w:w="100"/>
            </w:tcMar>
          </w:tcPr>
          <w:p>
            <w:r>
              <w:rPr>
                <w:b/>
                <w:bCs/>
                <w:color w:val="FFFFFF"/>
                <w:sz w:val="20"/>
                <w:szCs w:val="20"/>
              </w:rPr>
              <w:t xml:space="preserve">Visual</w:t>
            </w:r>
          </w:p>
        </w:tc>
        <w:tc>
          <w:tcPr>
            <w:tcW w:type="dxa" w:w="1600"/>
            <w:shd w:fill="1F4E5F" w:val="clear"/>
            <w:tcMar>
              <w:top w:type="dxa" w:w="80"/>
              <w:left w:type="dxa" w:w="100"/>
              <w:bottom w:type="dxa" w:w="80"/>
              <w:right w:type="dxa" w:w="100"/>
            </w:tcMar>
          </w:tcPr>
          <w:p>
            <w:r>
              <w:rPr>
                <w:b/>
                <w:bCs/>
                <w:color w:val="FFFFFF"/>
                <w:sz w:val="20"/>
                <w:szCs w:val="20"/>
              </w:rPr>
              <w:t xml:space="preserve">Type</w:t>
            </w:r>
          </w:p>
        </w:tc>
        <w:tc>
          <w:tcPr>
            <w:tcW w:type="dxa" w:w="3200"/>
            <w:shd w:fill="1F4E5F" w:val="clear"/>
            <w:tcMar>
              <w:top w:type="dxa" w:w="80"/>
              <w:left w:type="dxa" w:w="100"/>
              <w:bottom w:type="dxa" w:w="80"/>
              <w:right w:type="dxa" w:w="100"/>
            </w:tcMar>
          </w:tcPr>
          <w:p>
            <w:r>
              <w:rPr>
                <w:b/>
                <w:bCs/>
                <w:color w:val="FFFFFF"/>
                <w:sz w:val="20"/>
                <w:szCs w:val="20"/>
              </w:rPr>
              <w:t xml:space="preserve">Fields</w:t>
            </w:r>
          </w:p>
        </w:tc>
        <w:tc>
          <w:tcPr>
            <w:tcW w:type="dxa" w:w="2660"/>
            <w:shd w:fill="1F4E5F" w:val="clear"/>
            <w:tcMar>
              <w:top w:type="dxa" w:w="80"/>
              <w:left w:type="dxa" w:w="100"/>
              <w:bottom w:type="dxa" w:w="80"/>
              <w:right w:type="dxa" w:w="100"/>
            </w:tcMar>
          </w:tcPr>
          <w:p>
            <w:r>
              <w:rPr>
                <w:b/>
                <w:bCs/>
                <w:color w:val="FFFFFF"/>
                <w:sz w:val="20"/>
                <w:szCs w:val="20"/>
              </w:rPr>
              <w:t xml:space="preserve">Notes</w:t>
            </w:r>
          </w:p>
        </w:tc>
      </w:tr>
      <w:tr>
        <w:tc>
          <w:tcPr>
            <w:tcW w:type="dxa" w:w="1900"/>
            <w:shd w:fill="FFFFFF" w:val="clear"/>
            <w:tcMar>
              <w:top w:type="dxa" w:w="60"/>
              <w:left w:type="dxa" w:w="100"/>
              <w:bottom w:type="dxa" w:w="60"/>
              <w:right w:type="dxa" w:w="100"/>
            </w:tcMar>
          </w:tcPr>
          <w:p>
            <w:r>
              <w:rPr>
                <w:sz w:val="20"/>
                <w:szCs w:val="20"/>
              </w:rPr>
              <w:t xml:space="preserve">Monthly Revenue Trend</w:t>
            </w:r>
          </w:p>
        </w:tc>
        <w:tc>
          <w:tcPr>
            <w:tcW w:type="dxa" w:w="1600"/>
            <w:shd w:fill="FFFFFF" w:val="clear"/>
            <w:tcMar>
              <w:top w:type="dxa" w:w="60"/>
              <w:left w:type="dxa" w:w="100"/>
              <w:bottom w:type="dxa" w:w="60"/>
              <w:right w:type="dxa" w:w="100"/>
            </w:tcMar>
          </w:tcPr>
          <w:p>
            <w:r>
              <w:rPr>
                <w:sz w:val="20"/>
                <w:szCs w:val="20"/>
              </w:rPr>
              <w:t xml:space="preserve">Line chart</w:t>
            </w:r>
          </w:p>
        </w:tc>
        <w:tc>
          <w:tcPr>
            <w:tcW w:type="dxa" w:w="3200"/>
            <w:shd w:fill="FFFFFF" w:val="clear"/>
            <w:tcMar>
              <w:top w:type="dxa" w:w="60"/>
              <w:left w:type="dxa" w:w="100"/>
              <w:bottom w:type="dxa" w:w="60"/>
              <w:right w:type="dxa" w:w="100"/>
            </w:tcMar>
          </w:tcPr>
          <w:p>
            <w:r>
              <w:rPr>
                <w:sz w:val="20"/>
                <w:szCs w:val="20"/>
              </w:rPr>
              <w:t xml:space="preserve">Axis: DateTable[Date] (Month); Values: [Total Revenue]</w:t>
            </w:r>
          </w:p>
        </w:tc>
        <w:tc>
          <w:tcPr>
            <w:tcW w:type="dxa" w:w="2660"/>
            <w:shd w:fill="FFFFFF" w:val="clear"/>
            <w:tcMar>
              <w:top w:type="dxa" w:w="60"/>
              <w:left w:type="dxa" w:w="100"/>
              <w:bottom w:type="dxa" w:w="60"/>
              <w:right w:type="dxa" w:w="100"/>
            </w:tcMar>
          </w:tcPr>
          <w:p>
            <w:r>
              <w:rPr>
                <w:sz w:val="20"/>
                <w:szCs w:val="20"/>
              </w:rPr>
              <w:t xml:space="preserve">Enable 'Show data labels' off; add trend line if desired</w:t>
            </w:r>
          </w:p>
        </w:tc>
      </w:tr>
      <w:tr>
        <w:tc>
          <w:tcPr>
            <w:tcW w:type="dxa" w:w="1900"/>
            <w:shd w:fill="EAF2F5" w:val="clear"/>
            <w:tcMar>
              <w:top w:type="dxa" w:w="60"/>
              <w:left w:type="dxa" w:w="100"/>
              <w:bottom w:type="dxa" w:w="60"/>
              <w:right w:type="dxa" w:w="100"/>
            </w:tcMar>
          </w:tcPr>
          <w:p>
            <w:r>
              <w:rPr>
                <w:sz w:val="20"/>
                <w:szCs w:val="20"/>
              </w:rPr>
              <w:t xml:space="preserve">Revenue by Product Category</w:t>
            </w:r>
          </w:p>
        </w:tc>
        <w:tc>
          <w:tcPr>
            <w:tcW w:type="dxa" w:w="1600"/>
            <w:shd w:fill="EAF2F5" w:val="clear"/>
            <w:tcMar>
              <w:top w:type="dxa" w:w="60"/>
              <w:left w:type="dxa" w:w="100"/>
              <w:bottom w:type="dxa" w:w="60"/>
              <w:right w:type="dxa" w:w="100"/>
            </w:tcMar>
          </w:tcPr>
          <w:p>
            <w:r>
              <w:rPr>
                <w:sz w:val="20"/>
                <w:szCs w:val="20"/>
              </w:rPr>
              <w:t xml:space="preserve">Clustered bar chart</w:t>
            </w:r>
          </w:p>
        </w:tc>
        <w:tc>
          <w:tcPr>
            <w:tcW w:type="dxa" w:w="3200"/>
            <w:shd w:fill="EAF2F5" w:val="clear"/>
            <w:tcMar>
              <w:top w:type="dxa" w:w="60"/>
              <w:left w:type="dxa" w:w="100"/>
              <w:bottom w:type="dxa" w:w="60"/>
              <w:right w:type="dxa" w:w="100"/>
            </w:tcMar>
          </w:tcPr>
          <w:p>
            <w:r>
              <w:rPr>
                <w:sz w:val="20"/>
                <w:szCs w:val="20"/>
              </w:rPr>
              <w:t xml:space="preserve">Axis: ProductCategory; Values: [Total Revenue]</w:t>
            </w:r>
          </w:p>
        </w:tc>
        <w:tc>
          <w:tcPr>
            <w:tcW w:type="dxa" w:w="2660"/>
            <w:shd w:fill="EAF2F5" w:val="clear"/>
            <w:tcMar>
              <w:top w:type="dxa" w:w="60"/>
              <w:left w:type="dxa" w:w="100"/>
              <w:bottom w:type="dxa" w:w="60"/>
              <w:right w:type="dxa" w:w="100"/>
            </w:tcMar>
          </w:tcPr>
          <w:p>
            <w:r>
              <w:rPr>
                <w:sz w:val="20"/>
                <w:szCs w:val="20"/>
              </w:rPr>
              <w:t xml:space="preserve">Sort descending by revenue</w:t>
            </w:r>
          </w:p>
        </w:tc>
      </w:tr>
      <w:tr>
        <w:tc>
          <w:tcPr>
            <w:tcW w:type="dxa" w:w="1900"/>
            <w:shd w:fill="FFFFFF" w:val="clear"/>
            <w:tcMar>
              <w:top w:type="dxa" w:w="60"/>
              <w:left w:type="dxa" w:w="100"/>
              <w:bottom w:type="dxa" w:w="60"/>
              <w:right w:type="dxa" w:w="100"/>
            </w:tcMar>
          </w:tcPr>
          <w:p>
            <w:r>
              <w:rPr>
                <w:sz w:val="20"/>
                <w:szCs w:val="20"/>
              </w:rPr>
              <w:t xml:space="preserve">Top Cities by Revenue</w:t>
            </w:r>
          </w:p>
        </w:tc>
        <w:tc>
          <w:tcPr>
            <w:tcW w:type="dxa" w:w="1600"/>
            <w:shd w:fill="FFFFFF" w:val="clear"/>
            <w:tcMar>
              <w:top w:type="dxa" w:w="60"/>
              <w:left w:type="dxa" w:w="100"/>
              <w:bottom w:type="dxa" w:w="60"/>
              <w:right w:type="dxa" w:w="100"/>
            </w:tcMar>
          </w:tcPr>
          <w:p>
            <w:r>
              <w:rPr>
                <w:sz w:val="20"/>
                <w:szCs w:val="20"/>
              </w:rPr>
              <w:t xml:space="preserve">Clustered bar chart</w:t>
            </w:r>
          </w:p>
        </w:tc>
        <w:tc>
          <w:tcPr>
            <w:tcW w:type="dxa" w:w="3200"/>
            <w:shd w:fill="FFFFFF" w:val="clear"/>
            <w:tcMar>
              <w:top w:type="dxa" w:w="60"/>
              <w:left w:type="dxa" w:w="100"/>
              <w:bottom w:type="dxa" w:w="60"/>
              <w:right w:type="dxa" w:w="100"/>
            </w:tcMar>
          </w:tcPr>
          <w:p>
            <w:r>
              <w:rPr>
                <w:sz w:val="20"/>
                <w:szCs w:val="20"/>
              </w:rPr>
              <w:t xml:space="preserve">Axis: City; Values: [Total Revenue]</w:t>
            </w:r>
          </w:p>
        </w:tc>
        <w:tc>
          <w:tcPr>
            <w:tcW w:type="dxa" w:w="2660"/>
            <w:shd w:fill="FFFFFF" w:val="clear"/>
            <w:tcMar>
              <w:top w:type="dxa" w:w="60"/>
              <w:left w:type="dxa" w:w="100"/>
              <w:bottom w:type="dxa" w:w="60"/>
              <w:right w:type="dxa" w:w="100"/>
            </w:tcMar>
          </w:tcPr>
          <w:p>
            <w:r>
              <w:rPr>
                <w:sz w:val="20"/>
                <w:szCs w:val="20"/>
              </w:rPr>
              <w:t xml:space="preserve">Sort descending; use Top N filter (8) if needed</w:t>
            </w:r>
          </w:p>
        </w:tc>
      </w:tr>
      <w:tr>
        <w:tc>
          <w:tcPr>
            <w:tcW w:type="dxa" w:w="1900"/>
            <w:shd w:fill="EAF2F5" w:val="clear"/>
            <w:tcMar>
              <w:top w:type="dxa" w:w="60"/>
              <w:left w:type="dxa" w:w="100"/>
              <w:bottom w:type="dxa" w:w="60"/>
              <w:right w:type="dxa" w:w="100"/>
            </w:tcMar>
          </w:tcPr>
          <w:p>
            <w:r>
              <w:rPr>
                <w:sz w:val="20"/>
                <w:szCs w:val="20"/>
              </w:rPr>
              <w:t xml:space="preserve">Order Share by Payment Method</w:t>
            </w:r>
          </w:p>
        </w:tc>
        <w:tc>
          <w:tcPr>
            <w:tcW w:type="dxa" w:w="1600"/>
            <w:shd w:fill="EAF2F5" w:val="clear"/>
            <w:tcMar>
              <w:top w:type="dxa" w:w="60"/>
              <w:left w:type="dxa" w:w="100"/>
              <w:bottom w:type="dxa" w:w="60"/>
              <w:right w:type="dxa" w:w="100"/>
            </w:tcMar>
          </w:tcPr>
          <w:p>
            <w:r>
              <w:rPr>
                <w:sz w:val="20"/>
                <w:szCs w:val="20"/>
              </w:rPr>
              <w:t xml:space="preserve">Donut chart</w:t>
            </w:r>
          </w:p>
        </w:tc>
        <w:tc>
          <w:tcPr>
            <w:tcW w:type="dxa" w:w="3200"/>
            <w:shd w:fill="EAF2F5" w:val="clear"/>
            <w:tcMar>
              <w:top w:type="dxa" w:w="60"/>
              <w:left w:type="dxa" w:w="100"/>
              <w:bottom w:type="dxa" w:w="60"/>
              <w:right w:type="dxa" w:w="100"/>
            </w:tcMar>
          </w:tcPr>
          <w:p>
            <w:r>
              <w:rPr>
                <w:sz w:val="20"/>
                <w:szCs w:val="20"/>
              </w:rPr>
              <w:t xml:space="preserve">Legend: PaymentMethod; Values: [Total Orders]</w:t>
            </w:r>
          </w:p>
        </w:tc>
        <w:tc>
          <w:tcPr>
            <w:tcW w:type="dxa" w:w="2660"/>
            <w:shd w:fill="EAF2F5" w:val="clear"/>
            <w:tcMar>
              <w:top w:type="dxa" w:w="60"/>
              <w:left w:type="dxa" w:w="100"/>
              <w:bottom w:type="dxa" w:w="60"/>
              <w:right w:type="dxa" w:w="100"/>
            </w:tcMar>
          </w:tcPr>
          <w:p>
            <w:r>
              <w:rPr>
                <w:sz w:val="20"/>
                <w:szCs w:val="20"/>
              </w:rPr>
              <w:t xml:space="preserve">Enable data labels as percentage of total</w:t>
            </w:r>
          </w:p>
        </w:tc>
      </w:tr>
      <w:tr>
        <w:tc>
          <w:tcPr>
            <w:tcW w:type="dxa" w:w="1900"/>
            <w:shd w:fill="FFFFFF" w:val="clear"/>
            <w:tcMar>
              <w:top w:type="dxa" w:w="60"/>
              <w:left w:type="dxa" w:w="100"/>
              <w:bottom w:type="dxa" w:w="60"/>
              <w:right w:type="dxa" w:w="100"/>
            </w:tcMar>
          </w:tcPr>
          <w:p>
            <w:r>
              <w:rPr>
                <w:sz w:val="20"/>
                <w:szCs w:val="20"/>
              </w:rPr>
              <w:t xml:space="preserve">Avg Order Value by Age Group</w:t>
            </w:r>
          </w:p>
        </w:tc>
        <w:tc>
          <w:tcPr>
            <w:tcW w:type="dxa" w:w="1600"/>
            <w:shd w:fill="FFFFFF" w:val="clear"/>
            <w:tcMar>
              <w:top w:type="dxa" w:w="60"/>
              <w:left w:type="dxa" w:w="100"/>
              <w:bottom w:type="dxa" w:w="60"/>
              <w:right w:type="dxa" w:w="100"/>
            </w:tcMar>
          </w:tcPr>
          <w:p>
            <w:r>
              <w:rPr>
                <w:sz w:val="20"/>
                <w:szCs w:val="20"/>
              </w:rPr>
              <w:t xml:space="preserve">Column chart</w:t>
            </w:r>
          </w:p>
        </w:tc>
        <w:tc>
          <w:tcPr>
            <w:tcW w:type="dxa" w:w="3200"/>
            <w:shd w:fill="FFFFFF" w:val="clear"/>
            <w:tcMar>
              <w:top w:type="dxa" w:w="60"/>
              <w:left w:type="dxa" w:w="100"/>
              <w:bottom w:type="dxa" w:w="60"/>
              <w:right w:type="dxa" w:w="100"/>
            </w:tcMar>
          </w:tcPr>
          <w:p>
            <w:r>
              <w:rPr>
                <w:sz w:val="20"/>
                <w:szCs w:val="20"/>
              </w:rPr>
              <w:t xml:space="preserve">Axis: AgeGroup; Values: [Avg Order Value]</w:t>
            </w:r>
          </w:p>
        </w:tc>
        <w:tc>
          <w:tcPr>
            <w:tcW w:type="dxa" w:w="2660"/>
            <w:shd w:fill="FFFFFF" w:val="clear"/>
            <w:tcMar>
              <w:top w:type="dxa" w:w="60"/>
              <w:left w:type="dxa" w:w="100"/>
              <w:bottom w:type="dxa" w:w="60"/>
              <w:right w:type="dxa" w:w="100"/>
            </w:tcMar>
          </w:tcPr>
          <w:p>
            <w:r>
              <w:rPr>
                <w:sz w:val="20"/>
                <w:szCs w:val="20"/>
              </w:rPr>
              <w:t xml:space="preserve">Sort axis in natural age order (&lt;=25, 26-35, ...56+)</w:t>
            </w:r>
          </w:p>
        </w:tc>
      </w:tr>
      <w:tr>
        <w:tc>
          <w:tcPr>
            <w:tcW w:type="dxa" w:w="1900"/>
            <w:shd w:fill="EAF2F5" w:val="clear"/>
            <w:tcMar>
              <w:top w:type="dxa" w:w="60"/>
              <w:left w:type="dxa" w:w="100"/>
              <w:bottom w:type="dxa" w:w="60"/>
              <w:right w:type="dxa" w:w="100"/>
            </w:tcMar>
          </w:tcPr>
          <w:p>
            <w:r>
              <w:rPr>
                <w:sz w:val="20"/>
                <w:szCs w:val="20"/>
              </w:rPr>
              <w:t xml:space="preserve">Avg Rating by Category</w:t>
            </w:r>
          </w:p>
        </w:tc>
        <w:tc>
          <w:tcPr>
            <w:tcW w:type="dxa" w:w="1600"/>
            <w:shd w:fill="EAF2F5" w:val="clear"/>
            <w:tcMar>
              <w:top w:type="dxa" w:w="60"/>
              <w:left w:type="dxa" w:w="100"/>
              <w:bottom w:type="dxa" w:w="60"/>
              <w:right w:type="dxa" w:w="100"/>
            </w:tcMar>
          </w:tcPr>
          <w:p>
            <w:r>
              <w:rPr>
                <w:sz w:val="20"/>
                <w:szCs w:val="20"/>
              </w:rPr>
              <w:t xml:space="preserve">Bar chart</w:t>
            </w:r>
          </w:p>
        </w:tc>
        <w:tc>
          <w:tcPr>
            <w:tcW w:type="dxa" w:w="3200"/>
            <w:shd w:fill="EAF2F5" w:val="clear"/>
            <w:tcMar>
              <w:top w:type="dxa" w:w="60"/>
              <w:left w:type="dxa" w:w="100"/>
              <w:bottom w:type="dxa" w:w="60"/>
              <w:right w:type="dxa" w:w="100"/>
            </w:tcMar>
          </w:tcPr>
          <w:p>
            <w:r>
              <w:rPr>
                <w:sz w:val="20"/>
                <w:szCs w:val="20"/>
              </w:rPr>
              <w:t xml:space="preserve">Axis: ProductCategory; Values: [Avg Rating]</w:t>
            </w:r>
          </w:p>
        </w:tc>
        <w:tc>
          <w:tcPr>
            <w:tcW w:type="dxa" w:w="2660"/>
            <w:shd w:fill="EAF2F5" w:val="clear"/>
            <w:tcMar>
              <w:top w:type="dxa" w:w="60"/>
              <w:left w:type="dxa" w:w="100"/>
              <w:bottom w:type="dxa" w:w="60"/>
              <w:right w:type="dxa" w:w="100"/>
            </w:tcMar>
          </w:tcPr>
          <w:p>
            <w:r>
              <w:rPr>
                <w:sz w:val="20"/>
                <w:szCs w:val="20"/>
              </w:rPr>
              <w:t xml:space="preserve">Set axis min=0, max=5 for consistent scale</w:t>
            </w:r>
          </w:p>
        </w:tc>
      </w:tr>
    </w:tbl>
    <w:p>
      <w:pPr>
        <w:pStyle w:val="ListParagraph"/>
        <w:numPr>
          <w:ilvl w:val="0"/>
          <w:numId w:val="3"/>
        </w:numPr>
        <w:spacing w:after="100"/>
      </w:pPr>
      <w:r>
        <w:t xml:space="preserve">Arrange the six visuals in a 2-column grid below the KPI row: Monthly Trend and Category Revenue on row 1; City Revenue and Payment Donut on row 2; Age Group AOV and Category Rating side-by-side on row 3.</w:t>
      </w:r>
    </w:p>
    <w:p>
      <w:pPr>
        <w:pStyle w:val="Heading2"/>
        <w:spacing w:after="140" w:before="260"/>
      </w:pPr>
      <w:r>
        <w:rPr>
          <w:b/>
          <w:bCs/>
          <w:color w:val="2C6E91"/>
        </w:rPr>
        <w:t xml:space="preserve">3.5 Add Slicers / Filters</w:t>
      </w:r>
    </w:p>
    <w:p>
      <w:pPr>
        <w:pStyle w:val="ListParagraph"/>
        <w:numPr>
          <w:ilvl w:val="0"/>
          <w:numId w:val="3"/>
        </w:numPr>
        <w:spacing w:after="100"/>
      </w:pPr>
      <w:r>
        <w:t xml:space="preserve">Insert a Slicer visual for ProductCategory — set to 'Tile' layout for the chip-style look.</w:t>
      </w:r>
    </w:p>
    <w:p>
      <w:pPr>
        <w:pStyle w:val="ListParagraph"/>
        <w:numPr>
          <w:ilvl w:val="0"/>
          <w:numId w:val="3"/>
        </w:numPr>
        <w:spacing w:after="100"/>
      </w:pPr>
      <w:r>
        <w:t xml:space="preserve">Insert a Slicer visual for City — 'Tile' or 'Dropdown' layout (dropdown recommended given 10 values).</w:t>
      </w:r>
    </w:p>
    <w:p>
      <w:pPr>
        <w:pStyle w:val="ListParagraph"/>
        <w:numPr>
          <w:ilvl w:val="0"/>
          <w:numId w:val="3"/>
        </w:numPr>
        <w:spacing w:after="100"/>
      </w:pPr>
      <w:r>
        <w:t xml:space="preserve">Insert a Slicer visual for PaymentMethod — 'Tile' layout.</w:t>
      </w:r>
    </w:p>
    <w:p>
      <w:pPr>
        <w:pStyle w:val="ListParagraph"/>
        <w:numPr>
          <w:ilvl w:val="0"/>
          <w:numId w:val="3"/>
        </w:numPr>
        <w:spacing w:after="100"/>
      </w:pPr>
      <w:r>
        <w:t xml:space="preserve">Insert a Slicer visual for Gender — 'Tile' layout.</w:t>
      </w:r>
    </w:p>
    <w:p>
      <w:pPr>
        <w:pStyle w:val="ListParagraph"/>
        <w:numPr>
          <w:ilvl w:val="0"/>
          <w:numId w:val="3"/>
        </w:numPr>
        <w:spacing w:after="100"/>
      </w:pPr>
      <w:r>
        <w:t xml:space="preserve">Insert a Slicer visual for DateTable[Date] — set to 'Between' style for a range slider.</w:t>
      </w:r>
    </w:p>
    <w:p>
      <w:pPr>
        <w:pStyle w:val="ListParagraph"/>
        <w:numPr>
          <w:ilvl w:val="0"/>
          <w:numId w:val="3"/>
        </w:numPr>
        <w:spacing w:after="100"/>
      </w:pPr>
      <w:r>
        <w:t xml:space="preserve">Place all five slicers in a vertical panel on the left side of the canvas, and sync them across report pages if additional pages are added (View → Sync Slicers).</w:t>
      </w:r>
    </w:p>
    <w:p>
      <w:pPr>
        <w:pStyle w:val="Heading2"/>
        <w:spacing w:after="140" w:before="260"/>
      </w:pPr>
      <w:r>
        <w:rPr>
          <w:b/>
          <w:bCs/>
          <w:color w:val="2C6E91"/>
        </w:rPr>
        <w:t xml:space="preserve">3.6 Layout and Formatting</w:t>
      </w:r>
    </w:p>
    <w:p>
      <w:pPr>
        <w:pStyle w:val="ListParagraph"/>
        <w:numPr>
          <w:ilvl w:val="0"/>
          <w:numId w:val="2"/>
        </w:numPr>
        <w:spacing w:after="80"/>
      </w:pPr>
      <w:r>
        <w:t xml:space="preserve">Add a Text Box at the top spanning the full canvas width titled "E-Commerce Sales &amp; Customer Performance Dashboard" with a subtitle noting the domain and date range — this is the Dashboard Title requirement.</w:t>
      </w:r>
    </w:p>
    <w:p>
      <w:pPr>
        <w:pStyle w:val="ListParagraph"/>
        <w:numPr>
          <w:ilvl w:val="0"/>
          <w:numId w:val="2"/>
        </w:numPr>
        <w:spacing w:after="80"/>
      </w:pPr>
      <w:r>
        <w:t xml:space="preserve">Use a consistent theme: apply a custom Power BI theme (View → Themes → Browse for themes) with a dark navy background and gold/teal/blue accent colors to match the design shown in Section 2.</w:t>
      </w:r>
    </w:p>
    <w:p>
      <w:pPr>
        <w:pStyle w:val="ListParagraph"/>
        <w:numPr>
          <w:ilvl w:val="0"/>
          <w:numId w:val="2"/>
        </w:numPr>
        <w:spacing w:after="80"/>
      </w:pPr>
      <w:r>
        <w:t xml:space="preserve">Keep consistent card and visual padding, align all visual edges to the grid (View → Gridlines and Snap to Grid), and group the 5 KPI cards as a single object for easy repositioning.</w:t>
      </w:r>
    </w:p>
    <w:p>
      <w:pPr>
        <w:pStyle w:val="ListParagraph"/>
        <w:numPr>
          <w:ilvl w:val="0"/>
          <w:numId w:val="2"/>
        </w:numPr>
        <w:spacing w:after="80"/>
      </w:pPr>
      <w:r>
        <w:t xml:space="preserve">Add a footer text box with the data source and last-refreshed date.</w:t>
      </w:r>
    </w:p>
    <w:p>
      <w:pPr>
        <w:pStyle w:val="ListParagraph"/>
        <w:numPr>
          <w:ilvl w:val="0"/>
          <w:numId w:val="2"/>
        </w:numPr>
        <w:spacing w:after="80"/>
      </w:pPr>
      <w:r>
        <w:t xml:space="preserve">Publish to the Power BI Service (Home → Publish) if a shareable, browser-based interactive version is needed.</w:t>
      </w:r>
    </w:p>
    <w:p>
      <w:pPr>
        <w:pStyle w:val="Heading2"/>
        <w:spacing w:after="140" w:before="260"/>
      </w:pPr>
      <w:r>
        <w:rPr>
          <w:b/>
          <w:bCs/>
          <w:color w:val="2C6E91"/>
        </w:rPr>
        <w:t xml:space="preserve">3.7 Interactivity Checklist</w:t>
      </w:r>
    </w:p>
    <w:p>
      <w:pPr>
        <w:pStyle w:val="ListParagraph"/>
        <w:numPr>
          <w:ilvl w:val="0"/>
          <w:numId w:val="2"/>
        </w:numPr>
        <w:spacing w:after="80"/>
      </w:pPr>
      <w:r>
        <w:t xml:space="preserve">Confirm that clicking any bar/segment cross-filters the other visuals and KPI cards (default Power BI behavior — verify under Format → Edit Interactions).</w:t>
      </w:r>
    </w:p>
    <w:p>
      <w:pPr>
        <w:pStyle w:val="ListParagraph"/>
        <w:numPr>
          <w:ilvl w:val="0"/>
          <w:numId w:val="2"/>
        </w:numPr>
        <w:spacing w:after="80"/>
      </w:pPr>
      <w:r>
        <w:t xml:space="preserve">Test each slicer independently and in combination (e.g., City = Mumbai + Category = Electronics) to confirm KPI cards and charts update correctly.</w:t>
      </w:r>
    </w:p>
    <w:p>
      <w:pPr>
        <w:pStyle w:val="ListParagraph"/>
        <w:numPr>
          <w:ilvl w:val="0"/>
          <w:numId w:val="2"/>
        </w:numPr>
        <w:spacing w:after="80"/>
      </w:pPr>
      <w:r>
        <w:t xml:space="preserve">Verify the Date Range slicer correctly filters the Monthly Revenue Trend line chart via the DateTable relationship.</w:t>
      </w:r>
    </w:p>
    <w:p>
      <w:pPr>
        <w:pStyle w:val="Heading1"/>
        <w:pBdr>
          <w:bottom w:val="single" w:color="2C6E91" w:sz="8" w:space="4"/>
        </w:pBdr>
        <w:spacing w:after="180" w:before="360"/>
      </w:pPr>
      <w:r>
        <w:rPr>
          <w:b/>
          <w:bCs/>
          <w:color w:val="1F4E5F"/>
        </w:rPr>
        <w:t xml:space="preserve">4. Files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80"/>
              <w:left w:type="dxa" w:w="100"/>
              <w:bottom w:type="dxa" w:w="80"/>
              <w:right w:type="dxa" w:w="100"/>
            </w:tcMar>
          </w:tcPr>
          <w:p>
            <w:r>
              <w:rPr>
                <w:b/>
                <w:bCs/>
                <w:color w:val="FFFFFF"/>
                <w:sz w:val="20"/>
                <w:szCs w:val="20"/>
              </w:rPr>
              <w:t xml:space="preserve">File</w:t>
            </w:r>
          </w:p>
        </w:tc>
        <w:tc>
          <w:tcPr>
            <w:tcW w:type="dxa" w:w="4680"/>
            <w:shd w:fill="1F4E5F" w:val="clear"/>
            <w:tcMar>
              <w:top w:type="dxa" w:w="80"/>
              <w:left w:type="dxa" w:w="100"/>
              <w:bottom w:type="dxa" w:w="80"/>
              <w:right w:type="dxa" w:w="100"/>
            </w:tcMar>
          </w:tcPr>
          <w:p>
            <w:r>
              <w:rPr>
                <w:b/>
                <w:bCs/>
                <w:color w:val="FFFFFF"/>
                <w:sz w:val="20"/>
                <w:szCs w:val="20"/>
              </w:rPr>
              <w:t xml:space="preserve">Purpose</w:t>
            </w:r>
          </w:p>
        </w:tc>
      </w:tr>
      <w:tr>
        <w:tc>
          <w:tcPr>
            <w:tcW w:type="dxa" w:w="4680"/>
            <w:shd w:fill="FFFFFF" w:val="clear"/>
            <w:tcMar>
              <w:top w:type="dxa" w:w="60"/>
              <w:left w:type="dxa" w:w="100"/>
              <w:bottom w:type="dxa" w:w="60"/>
              <w:right w:type="dxa" w:w="100"/>
            </w:tcMar>
          </w:tcPr>
          <w:p>
            <w:r>
              <w:rPr>
                <w:sz w:val="20"/>
                <w:szCs w:val="20"/>
              </w:rPr>
              <w:t xml:space="preserve">ecommerce_sales_for_powerbi.xlsx</w:t>
            </w:r>
          </w:p>
        </w:tc>
        <w:tc>
          <w:tcPr>
            <w:tcW w:type="dxa" w:w="4680"/>
            <w:shd w:fill="FFFFFF" w:val="clear"/>
            <w:tcMar>
              <w:top w:type="dxa" w:w="60"/>
              <w:left w:type="dxa" w:w="100"/>
              <w:bottom w:type="dxa" w:w="60"/>
              <w:right w:type="dxa" w:w="100"/>
            </w:tcMar>
          </w:tcPr>
          <w:p>
            <w:r>
              <w:rPr>
                <w:sz w:val="20"/>
                <w:szCs w:val="20"/>
              </w:rPr>
              <w:t xml:space="preserve">Cleaned, analysis-ready dataset formatted for direct import into Power BI</w:t>
            </w:r>
          </w:p>
        </w:tc>
      </w:tr>
      <w:tr>
        <w:tc>
          <w:tcPr>
            <w:tcW w:type="dxa" w:w="4680"/>
            <w:shd w:fill="EAF2F5" w:val="clear"/>
            <w:tcMar>
              <w:top w:type="dxa" w:w="60"/>
              <w:left w:type="dxa" w:w="100"/>
              <w:bottom w:type="dxa" w:w="60"/>
              <w:right w:type="dxa" w:w="100"/>
            </w:tcMar>
          </w:tcPr>
          <w:p>
            <w:r>
              <w:rPr>
                <w:sz w:val="20"/>
                <w:szCs w:val="20"/>
              </w:rPr>
              <w:t xml:space="preserve">dashboard_mockup.png</w:t>
            </w:r>
          </w:p>
        </w:tc>
        <w:tc>
          <w:tcPr>
            <w:tcW w:type="dxa" w:w="4680"/>
            <w:shd w:fill="EAF2F5" w:val="clear"/>
            <w:tcMar>
              <w:top w:type="dxa" w:w="60"/>
              <w:left w:type="dxa" w:w="100"/>
              <w:bottom w:type="dxa" w:w="60"/>
              <w:right w:type="dxa" w:w="100"/>
            </w:tcMar>
          </w:tcPr>
          <w:p>
            <w:r>
              <w:rPr>
                <w:sz w:val="20"/>
                <w:szCs w:val="20"/>
              </w:rPr>
              <w:t xml:space="preserve">Full-resolution dashboard design (also embedded in Section 2 above)</w:t>
            </w:r>
          </w:p>
        </w:tc>
      </w:tr>
      <w:tr>
        <w:tc>
          <w:tcPr>
            <w:tcW w:type="dxa" w:w="4680"/>
            <w:shd w:fill="FFFFFF" w:val="clear"/>
            <w:tcMar>
              <w:top w:type="dxa" w:w="60"/>
              <w:left w:type="dxa" w:w="100"/>
              <w:bottom w:type="dxa" w:w="60"/>
              <w:right w:type="dxa" w:w="100"/>
            </w:tcMar>
          </w:tcPr>
          <w:p>
            <w:r>
              <w:rPr>
                <w:sz w:val="20"/>
                <w:szCs w:val="20"/>
              </w:rPr>
              <w:t xml:space="preserve">Ecommerce_Analytics_Project_Report.docx / Task3–5 reports</w:t>
            </w:r>
          </w:p>
        </w:tc>
        <w:tc>
          <w:tcPr>
            <w:tcW w:type="dxa" w:w="4680"/>
            <w:shd w:fill="FFFFFF" w:val="clear"/>
            <w:tcMar>
              <w:top w:type="dxa" w:w="60"/>
              <w:left w:type="dxa" w:w="100"/>
              <w:bottom w:type="dxa" w:w="60"/>
              <w:right w:type="dxa" w:w="100"/>
            </w:tcMar>
          </w:tcPr>
          <w:p>
            <w:r>
              <w:rPr>
                <w:sz w:val="20"/>
                <w:szCs w:val="20"/>
              </w:rPr>
              <w:t xml:space="preserve">Supporting analysis that the dashboard's KPIs and charts are derived from</w:t>
            </w:r>
          </w:p>
        </w:tc>
      </w:tr>
    </w:tbl>
    <w:p>
      <w:pPr>
        <w:spacing w:after="160" w:line="300"/>
      </w:pPr>
      <w:r>
        <w:t xml:space="preserve">Together, these allow the dashboard to be reproduced exactly as designed in a live Power BI Desktop session, fully interactive with working slicers, cross-filtering, and drill-down.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8f86c05eda149a6d40d62fd86cf640e4f2010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2026-09-11T18:10:07.257Z</dcterms:created>
  <dcterms:modified xsi:type="dcterms:W3CDTF">2026-09-11T18:10:07.257Z</dcterms:modified>
</cp:coreProperties>
</file>

<file path=docProps/custom.xml><?xml version="1.0" encoding="utf-8"?>
<Properties xmlns="http://schemas.openxmlformats.org/officeDocument/2006/custom-properties" xmlns:vt="http://schemas.openxmlformats.org/officeDocument/2006/docPropsVTypes"/>
</file>