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F4E5F"/>
          <w:sz w:val="44"/>
          <w:szCs w:val="44"/>
        </w:rPr>
        <w:t xml:space="preserve">Data Analytics Internship Project</w:t>
      </w:r>
    </w:p>
    <w:p>
      <w:pPr>
        <w:spacing w:after="200" w:before="200"/>
        <w:jc w:val="center"/>
      </w:pPr>
      <w:r>
        <w:rPr>
          <w:i/>
          <w:iCs/>
          <w:color w:val="2C6E91"/>
          <w:sz w:val="28"/>
          <w:szCs w:val="28"/>
        </w:rPr>
        <w:t xml:space="preserve">Dataset Selection, Data Preparation, Exploratory Data Analysis &amp; Visualization</w:t>
      </w:r>
    </w:p>
    <w:p>
      <w:pPr>
        <w:spacing w:before="400"/>
        <w:jc w:val="center"/>
      </w:pPr>
      <w:r>
        <w:rPr>
          <w:b/>
          <w:bCs/>
          <w:sz w:val="24"/>
          <w:szCs w:val="24"/>
        </w:rPr>
        <w:t xml:space="preserve">Domain: E-Commerce Sales &amp; Customer Analytics</w:t>
      </w:r>
    </w:p>
    <w:p>
      <w:pPr>
        <w:spacing w:before="800"/>
        <w:jc w:val="center"/>
      </w:pPr>
      <w:r>
        <w:rPr>
          <w:color w:val="555555"/>
          <w:sz w:val="20"/>
          <w:szCs w:val="20"/>
        </w:rPr>
        <w:t xml:space="preserve">Covers Task 3 (Data Preparation), Task 4 (Exploratory Data Analysis) and Task 5 (Data Visualization)</w:t>
      </w:r>
    </w:p>
    <w:p>
      <w:pPr>
        <w:spacing w:before="1600"/>
        <w:jc w:val="center"/>
      </w:pPr>
      <w:r>
        <w:rPr>
          <w:color w:val="777777"/>
          <w:sz w:val="20"/>
          <w:szCs w:val="20"/>
        </w:rPr>
        <w:t xml:space="preserve">September 2026</w:t>
      </w:r>
    </w:p>
    <w:p>
      <w:r>
        <w:br w:type="page"/>
      </w:r>
    </w:p>
    <w:p>
      <w:pPr>
        <w:pStyle w:val="Heading1"/>
        <w:pBdr>
          <w:bottom w:val="single" w:color="2C6E91" w:sz="8" w:space="4"/>
        </w:pBdr>
        <w:spacing w:after="180" w:before="360"/>
      </w:pPr>
      <w:r>
        <w:rPr>
          <w:b/>
          <w:bCs/>
          <w:color w:val="1F4E5F"/>
        </w:rPr>
        <w:t xml:space="preserve">Task 3: Dataset Selection &amp; Data Preparation</w:t>
      </w:r>
    </w:p>
    <w:p>
      <w:pPr>
        <w:pStyle w:val="Heading2"/>
        <w:spacing w:after="140" w:before="260"/>
      </w:pPr>
      <w:r>
        <w:rPr>
          <w:b/>
          <w:bCs/>
          <w:color w:val="2C6E91"/>
        </w:rPr>
        <w:t xml:space="preserve">3.1 Dataset Selection</w:t>
      </w:r>
    </w:p>
    <w:p>
      <w:pPr>
        <w:spacing w:after="160" w:line="300"/>
      </w:pPr>
      <w:r>
        <w:t xml:space="preserve">The dataset chosen for this project is a simulated E-Commerce Sales dataset, representing the Sales / Customer Analytics domain. It contains 2,035 order-level records across 15 original columns, covering customer demographics, product details, pricing, discounts, shipping, delivery performance, and customer ratings. This domain was selected because e-commerce transaction data naturally contains the variety of real-world data-quality issues (missing values, duplicate orders, inconsistent formatting, and outliers) that are essential to practice cleaning and analysis techniques.</w:t>
      </w:r>
    </w:p>
    <w:p>
      <w:pPr>
        <w:pStyle w:val="Heading2"/>
        <w:spacing w:after="140" w:before="260"/>
      </w:pPr>
      <w:r>
        <w:rPr>
          <w:b/>
          <w:bCs/>
          <w:color w:val="2C6E91"/>
        </w:rPr>
        <w:t xml:space="preserve">3.2 Data Inspection</w:t>
      </w:r>
    </w:p>
    <w:p>
      <w:pPr>
        <w:spacing w:after="160" w:line="300"/>
      </w:pPr>
      <w:r>
        <w:t xml:space="preserve">The dataset was first inspected using standard exploratory functions (.head(), .info(), .describe(), .dtypes) to understand its structure, size, and content before any cleaning was performed.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80"/>
              <w:left w:type="dxa" w:w="100"/>
              <w:bottom w:type="dxa" w:w="80"/>
              <w:right w:type="dxa" w:w="100"/>
            </w:tcMar>
          </w:tcPr>
          <w:p>
            <w:r>
              <w:rPr>
                <w:b/>
                <w:bCs/>
                <w:color w:val="FFFFFF"/>
                <w:sz w:val="20"/>
                <w:szCs w:val="20"/>
              </w:rPr>
              <w:t xml:space="preserve">Property</w:t>
            </w:r>
          </w:p>
        </w:tc>
        <w:tc>
          <w:tcPr>
            <w:tcW w:type="dxa" w:w="4680"/>
            <w:shd w:fill="1F4E5F" w:val="clear"/>
            <w:tcMar>
              <w:top w:type="dxa" w:w="80"/>
              <w:left w:type="dxa" w:w="100"/>
              <w:bottom w:type="dxa" w:w="80"/>
              <w:right w:type="dxa" w:w="100"/>
            </w:tcMar>
          </w:tcPr>
          <w:p>
            <w:r>
              <w:rPr>
                <w:b/>
                <w:bCs/>
                <w:color w:val="FFFFFF"/>
                <w:sz w:val="20"/>
                <w:szCs w:val="20"/>
              </w:rPr>
              <w:t xml:space="preserve">Value</w:t>
            </w:r>
          </w:p>
        </w:tc>
      </w:tr>
      <w:tr>
        <w:tc>
          <w:tcPr>
            <w:tcW w:type="dxa" w:w="4680"/>
            <w:shd w:fill="FFFFFF" w:val="clear"/>
            <w:tcMar>
              <w:top w:type="dxa" w:w="60"/>
              <w:left w:type="dxa" w:w="100"/>
              <w:bottom w:type="dxa" w:w="60"/>
              <w:right w:type="dxa" w:w="100"/>
            </w:tcMar>
          </w:tcPr>
          <w:p>
            <w:r>
              <w:rPr>
                <w:sz w:val="20"/>
                <w:szCs w:val="20"/>
              </w:rPr>
              <w:t xml:space="preserve">Initial rows</w:t>
            </w:r>
          </w:p>
        </w:tc>
        <w:tc>
          <w:tcPr>
            <w:tcW w:type="dxa" w:w="4680"/>
            <w:shd w:fill="FFFFFF" w:val="clear"/>
            <w:tcMar>
              <w:top w:type="dxa" w:w="60"/>
              <w:left w:type="dxa" w:w="100"/>
              <w:bottom w:type="dxa" w:w="60"/>
              <w:right w:type="dxa" w:w="100"/>
            </w:tcMar>
          </w:tcPr>
          <w:p>
            <w:r>
              <w:rPr>
                <w:sz w:val="20"/>
                <w:szCs w:val="20"/>
              </w:rPr>
              <w:t xml:space="preserve">2,035</w:t>
            </w:r>
          </w:p>
        </w:tc>
      </w:tr>
      <w:tr>
        <w:tc>
          <w:tcPr>
            <w:tcW w:type="dxa" w:w="4680"/>
            <w:shd w:fill="EAF2F5" w:val="clear"/>
            <w:tcMar>
              <w:top w:type="dxa" w:w="60"/>
              <w:left w:type="dxa" w:w="100"/>
              <w:bottom w:type="dxa" w:w="60"/>
              <w:right w:type="dxa" w:w="100"/>
            </w:tcMar>
          </w:tcPr>
          <w:p>
            <w:r>
              <w:rPr>
                <w:sz w:val="20"/>
                <w:szCs w:val="20"/>
              </w:rPr>
              <w:t xml:space="preserve">Initial columns</w:t>
            </w:r>
          </w:p>
        </w:tc>
        <w:tc>
          <w:tcPr>
            <w:tcW w:type="dxa" w:w="4680"/>
            <w:shd w:fill="EAF2F5" w:val="clear"/>
            <w:tcMar>
              <w:top w:type="dxa" w:w="60"/>
              <w:left w:type="dxa" w:w="100"/>
              <w:bottom w:type="dxa" w:w="60"/>
              <w:right w:type="dxa" w:w="100"/>
            </w:tcMar>
          </w:tcPr>
          <w:p>
            <w:r>
              <w:rPr>
                <w:sz w:val="20"/>
                <w:szCs w:val="20"/>
              </w:rPr>
              <w:t xml:space="preserve">15</w:t>
            </w:r>
          </w:p>
        </w:tc>
      </w:tr>
      <w:tr>
        <w:tc>
          <w:tcPr>
            <w:tcW w:type="dxa" w:w="4680"/>
            <w:shd w:fill="FFFFFF" w:val="clear"/>
            <w:tcMar>
              <w:top w:type="dxa" w:w="60"/>
              <w:left w:type="dxa" w:w="100"/>
              <w:bottom w:type="dxa" w:w="60"/>
              <w:right w:type="dxa" w:w="100"/>
            </w:tcMar>
          </w:tcPr>
          <w:p>
            <w:r>
              <w:rPr>
                <w:sz w:val="20"/>
                <w:szCs w:val="20"/>
              </w:rPr>
              <w:t xml:space="preserve">Time period covered</w:t>
            </w:r>
          </w:p>
        </w:tc>
        <w:tc>
          <w:tcPr>
            <w:tcW w:type="dxa" w:w="4680"/>
            <w:shd w:fill="FFFFFF" w:val="clear"/>
            <w:tcMar>
              <w:top w:type="dxa" w:w="60"/>
              <w:left w:type="dxa" w:w="100"/>
              <w:bottom w:type="dxa" w:w="60"/>
              <w:right w:type="dxa" w:w="100"/>
            </w:tcMar>
          </w:tcPr>
          <w:p>
            <w:r>
              <w:rPr>
                <w:sz w:val="20"/>
                <w:szCs w:val="20"/>
              </w:rPr>
              <w:t xml:space="preserve">January 2023 - December 2024</w:t>
            </w:r>
          </w:p>
        </w:tc>
      </w:tr>
      <w:tr>
        <w:tc>
          <w:tcPr>
            <w:tcW w:type="dxa" w:w="4680"/>
            <w:shd w:fill="EAF2F5" w:val="clear"/>
            <w:tcMar>
              <w:top w:type="dxa" w:w="60"/>
              <w:left w:type="dxa" w:w="100"/>
              <w:bottom w:type="dxa" w:w="60"/>
              <w:right w:type="dxa" w:w="100"/>
            </w:tcMar>
          </w:tcPr>
          <w:p>
            <w:r>
              <w:rPr>
                <w:sz w:val="20"/>
                <w:szCs w:val="20"/>
              </w:rPr>
              <w:t xml:space="preserve">Granularity</w:t>
            </w:r>
          </w:p>
        </w:tc>
        <w:tc>
          <w:tcPr>
            <w:tcW w:type="dxa" w:w="4680"/>
            <w:shd w:fill="EAF2F5" w:val="clear"/>
            <w:tcMar>
              <w:top w:type="dxa" w:w="60"/>
              <w:left w:type="dxa" w:w="100"/>
              <w:bottom w:type="dxa" w:w="60"/>
              <w:right w:type="dxa" w:w="100"/>
            </w:tcMar>
          </w:tcPr>
          <w:p>
            <w:r>
              <w:rPr>
                <w:sz w:val="20"/>
                <w:szCs w:val="20"/>
              </w:rPr>
              <w:t xml:space="preserve">One row per order</w:t>
            </w:r>
          </w:p>
        </w:tc>
      </w:tr>
    </w:tbl>
    <w:p>
      <w:pPr>
        <w:pStyle w:val="Heading2"/>
        <w:spacing w:after="140" w:before="260"/>
      </w:pPr>
      <w:r>
        <w:rPr>
          <w:b/>
          <w:bCs/>
          <w:color w:val="2C6E91"/>
        </w:rPr>
        <w:t xml:space="preserve">3.3 Columns and Data Types</w:t>
      </w:r>
    </w:p>
    <w:p>
      <w:pPr>
        <w:spacing w:after="160" w:line="300"/>
      </w:pPr>
      <w:r>
        <w:t xml:space="preserve">The table below summarizes each column in the raw dataset and its identified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4E5F" w:val="clear"/>
            <w:tcMar>
              <w:top w:type="dxa" w:w="80"/>
              <w:left w:type="dxa" w:w="100"/>
              <w:bottom w:type="dxa" w:w="80"/>
              <w:right w:type="dxa" w:w="100"/>
            </w:tcMar>
          </w:tcPr>
          <w:p>
            <w:r>
              <w:rPr>
                <w:b/>
                <w:bCs/>
                <w:color w:val="FFFFFF"/>
                <w:sz w:val="20"/>
                <w:szCs w:val="20"/>
              </w:rPr>
              <w:t xml:space="preserve">Column</w:t>
            </w:r>
          </w:p>
        </w:tc>
        <w:tc>
          <w:tcPr>
            <w:tcW w:type="dxa" w:w="2400"/>
            <w:shd w:fill="1F4E5F" w:val="clear"/>
            <w:tcMar>
              <w:top w:type="dxa" w:w="80"/>
              <w:left w:type="dxa" w:w="100"/>
              <w:bottom w:type="dxa" w:w="80"/>
              <w:right w:type="dxa" w:w="100"/>
            </w:tcMar>
          </w:tcPr>
          <w:p>
            <w:r>
              <w:rPr>
                <w:b/>
                <w:bCs/>
                <w:color w:val="FFFFFF"/>
                <w:sz w:val="20"/>
                <w:szCs w:val="20"/>
              </w:rPr>
              <w:t xml:space="preserve">Data Type</w:t>
            </w:r>
          </w:p>
        </w:tc>
        <w:tc>
          <w:tcPr>
            <w:tcW w:type="dxa" w:w="4560"/>
            <w:shd w:fill="1F4E5F" w:val="clear"/>
            <w:tcMar>
              <w:top w:type="dxa" w:w="80"/>
              <w:left w:type="dxa" w:w="100"/>
              <w:bottom w:type="dxa" w:w="80"/>
              <w:right w:type="dxa" w:w="100"/>
            </w:tcMar>
          </w:tcPr>
          <w:p>
            <w:r>
              <w:rPr>
                <w:b/>
                <w:bCs/>
                <w:color w:val="FFFFFF"/>
                <w:sz w:val="20"/>
                <w:szCs w:val="20"/>
              </w:rPr>
              <w:t xml:space="preserve">Description</w:t>
            </w:r>
          </w:p>
        </w:tc>
      </w:tr>
      <w:tr>
        <w:tc>
          <w:tcPr>
            <w:tcW w:type="dxa" w:w="2400"/>
            <w:shd w:fill="FFFFFF" w:val="clear"/>
            <w:tcMar>
              <w:top w:type="dxa" w:w="60"/>
              <w:left w:type="dxa" w:w="100"/>
              <w:bottom w:type="dxa" w:w="60"/>
              <w:right w:type="dxa" w:w="100"/>
            </w:tcMar>
          </w:tcPr>
          <w:p>
            <w:r>
              <w:rPr>
                <w:sz w:val="20"/>
                <w:szCs w:val="20"/>
              </w:rPr>
              <w:t xml:space="preserve">OrderID</w:t>
            </w:r>
          </w:p>
        </w:tc>
        <w:tc>
          <w:tcPr>
            <w:tcW w:type="dxa" w:w="2400"/>
            <w:shd w:fill="FFFFFF" w:val="clear"/>
            <w:tcMar>
              <w:top w:type="dxa" w:w="60"/>
              <w:left w:type="dxa" w:w="100"/>
              <w:bottom w:type="dxa" w:w="60"/>
              <w:right w:type="dxa" w:w="100"/>
            </w:tcMar>
          </w:tcPr>
          <w:p>
            <w:r>
              <w:rPr>
                <w:sz w:val="20"/>
                <w:szCs w:val="20"/>
              </w:rPr>
              <w:t xml:space="preserve">Integer</w:t>
            </w:r>
          </w:p>
        </w:tc>
        <w:tc>
          <w:tcPr>
            <w:tcW w:type="dxa" w:w="4560"/>
            <w:shd w:fill="FFFFFF" w:val="clear"/>
            <w:tcMar>
              <w:top w:type="dxa" w:w="60"/>
              <w:left w:type="dxa" w:w="100"/>
              <w:bottom w:type="dxa" w:w="60"/>
              <w:right w:type="dxa" w:w="100"/>
            </w:tcMar>
          </w:tcPr>
          <w:p>
            <w:r>
              <w:rPr>
                <w:sz w:val="20"/>
                <w:szCs w:val="20"/>
              </w:rPr>
              <w:t xml:space="preserve">Unique order identifier</w:t>
            </w:r>
          </w:p>
        </w:tc>
      </w:tr>
      <w:tr>
        <w:tc>
          <w:tcPr>
            <w:tcW w:type="dxa" w:w="2400"/>
            <w:shd w:fill="EAF2F5" w:val="clear"/>
            <w:tcMar>
              <w:top w:type="dxa" w:w="60"/>
              <w:left w:type="dxa" w:w="100"/>
              <w:bottom w:type="dxa" w:w="60"/>
              <w:right w:type="dxa" w:w="100"/>
            </w:tcMar>
          </w:tcPr>
          <w:p>
            <w:r>
              <w:rPr>
                <w:sz w:val="20"/>
                <w:szCs w:val="20"/>
              </w:rPr>
              <w:t xml:space="preserve">CustomerID</w:t>
            </w:r>
          </w:p>
        </w:tc>
        <w:tc>
          <w:tcPr>
            <w:tcW w:type="dxa" w:w="2400"/>
            <w:shd w:fill="EAF2F5" w:val="clear"/>
            <w:tcMar>
              <w:top w:type="dxa" w:w="60"/>
              <w:left w:type="dxa" w:w="100"/>
              <w:bottom w:type="dxa" w:w="60"/>
              <w:right w:type="dxa" w:w="100"/>
            </w:tcMar>
          </w:tcPr>
          <w:p>
            <w:r>
              <w:rPr>
                <w:sz w:val="20"/>
                <w:szCs w:val="20"/>
              </w:rPr>
              <w:t xml:space="preserve">Integer</w:t>
            </w:r>
          </w:p>
        </w:tc>
        <w:tc>
          <w:tcPr>
            <w:tcW w:type="dxa" w:w="4560"/>
            <w:shd w:fill="EAF2F5" w:val="clear"/>
            <w:tcMar>
              <w:top w:type="dxa" w:w="60"/>
              <w:left w:type="dxa" w:w="100"/>
              <w:bottom w:type="dxa" w:w="60"/>
              <w:right w:type="dxa" w:w="100"/>
            </w:tcMar>
          </w:tcPr>
          <w:p>
            <w:r>
              <w:rPr>
                <w:sz w:val="20"/>
                <w:szCs w:val="20"/>
              </w:rPr>
              <w:t xml:space="preserve">Customer identifier (repeat customers present)</w:t>
            </w:r>
          </w:p>
        </w:tc>
      </w:tr>
      <w:tr>
        <w:tc>
          <w:tcPr>
            <w:tcW w:type="dxa" w:w="2400"/>
            <w:shd w:fill="FFFFFF" w:val="clear"/>
            <w:tcMar>
              <w:top w:type="dxa" w:w="60"/>
              <w:left w:type="dxa" w:w="100"/>
              <w:bottom w:type="dxa" w:w="60"/>
              <w:right w:type="dxa" w:w="100"/>
            </w:tcMar>
          </w:tcPr>
          <w:p>
            <w:r>
              <w:rPr>
                <w:sz w:val="20"/>
                <w:szCs w:val="20"/>
              </w:rPr>
              <w:t xml:space="preserve">Gender</w:t>
            </w:r>
          </w:p>
        </w:tc>
        <w:tc>
          <w:tcPr>
            <w:tcW w:type="dxa" w:w="2400"/>
            <w:shd w:fill="FFFFFF" w:val="clear"/>
            <w:tcMar>
              <w:top w:type="dxa" w:w="60"/>
              <w:left w:type="dxa" w:w="100"/>
              <w:bottom w:type="dxa" w:w="60"/>
              <w:right w:type="dxa" w:w="100"/>
            </w:tcMar>
          </w:tcPr>
          <w:p>
            <w:r>
              <w:rPr>
                <w:sz w:val="20"/>
                <w:szCs w:val="20"/>
              </w:rPr>
              <w:t xml:space="preserve">Text (categorical)</w:t>
            </w:r>
          </w:p>
        </w:tc>
        <w:tc>
          <w:tcPr>
            <w:tcW w:type="dxa" w:w="4560"/>
            <w:shd w:fill="FFFFFF" w:val="clear"/>
            <w:tcMar>
              <w:top w:type="dxa" w:w="60"/>
              <w:left w:type="dxa" w:w="100"/>
              <w:bottom w:type="dxa" w:w="60"/>
              <w:right w:type="dxa" w:w="100"/>
            </w:tcMar>
          </w:tcPr>
          <w:p>
            <w:r>
              <w:rPr>
                <w:sz w:val="20"/>
                <w:szCs w:val="20"/>
              </w:rPr>
              <w:t xml:space="preserve">Male / Female / Other</w:t>
            </w:r>
          </w:p>
        </w:tc>
      </w:tr>
      <w:tr>
        <w:tc>
          <w:tcPr>
            <w:tcW w:type="dxa" w:w="2400"/>
            <w:shd w:fill="EAF2F5" w:val="clear"/>
            <w:tcMar>
              <w:top w:type="dxa" w:w="60"/>
              <w:left w:type="dxa" w:w="100"/>
              <w:bottom w:type="dxa" w:w="60"/>
              <w:right w:type="dxa" w:w="100"/>
            </w:tcMar>
          </w:tcPr>
          <w:p>
            <w:r>
              <w:rPr>
                <w:sz w:val="20"/>
                <w:szCs w:val="20"/>
              </w:rPr>
              <w:t xml:space="preserve">Age</w:t>
            </w:r>
          </w:p>
        </w:tc>
        <w:tc>
          <w:tcPr>
            <w:tcW w:type="dxa" w:w="2400"/>
            <w:shd w:fill="EAF2F5" w:val="clear"/>
            <w:tcMar>
              <w:top w:type="dxa" w:w="60"/>
              <w:left w:type="dxa" w:w="100"/>
              <w:bottom w:type="dxa" w:w="60"/>
              <w:right w:type="dxa" w:w="100"/>
            </w:tcMar>
          </w:tcPr>
          <w:p>
            <w:r>
              <w:rPr>
                <w:sz w:val="20"/>
                <w:szCs w:val="20"/>
              </w:rPr>
              <w:t xml:space="preserve">Float (numeric)</w:t>
            </w:r>
          </w:p>
        </w:tc>
        <w:tc>
          <w:tcPr>
            <w:tcW w:type="dxa" w:w="4560"/>
            <w:shd w:fill="EAF2F5" w:val="clear"/>
            <w:tcMar>
              <w:top w:type="dxa" w:w="60"/>
              <w:left w:type="dxa" w:w="100"/>
              <w:bottom w:type="dxa" w:w="60"/>
              <w:right w:type="dxa" w:w="100"/>
            </w:tcMar>
          </w:tcPr>
          <w:p>
            <w:r>
              <w:rPr>
                <w:sz w:val="20"/>
                <w:szCs w:val="20"/>
              </w:rPr>
              <w:t xml:space="preserve">Customer age in years</w:t>
            </w:r>
          </w:p>
        </w:tc>
      </w:tr>
      <w:tr>
        <w:tc>
          <w:tcPr>
            <w:tcW w:type="dxa" w:w="2400"/>
            <w:shd w:fill="FFFFFF" w:val="clear"/>
            <w:tcMar>
              <w:top w:type="dxa" w:w="60"/>
              <w:left w:type="dxa" w:w="100"/>
              <w:bottom w:type="dxa" w:w="60"/>
              <w:right w:type="dxa" w:w="100"/>
            </w:tcMar>
          </w:tcPr>
          <w:p>
            <w:r>
              <w:rPr>
                <w:sz w:val="20"/>
                <w:szCs w:val="20"/>
              </w:rPr>
              <w:t xml:space="preserve">City</w:t>
            </w:r>
          </w:p>
        </w:tc>
        <w:tc>
          <w:tcPr>
            <w:tcW w:type="dxa" w:w="2400"/>
            <w:shd w:fill="FFFFFF" w:val="clear"/>
            <w:tcMar>
              <w:top w:type="dxa" w:w="60"/>
              <w:left w:type="dxa" w:w="100"/>
              <w:bottom w:type="dxa" w:w="60"/>
              <w:right w:type="dxa" w:w="100"/>
            </w:tcMar>
          </w:tcPr>
          <w:p>
            <w:r>
              <w:rPr>
                <w:sz w:val="20"/>
                <w:szCs w:val="20"/>
              </w:rPr>
              <w:t xml:space="preserve">Text (categorical)</w:t>
            </w:r>
          </w:p>
        </w:tc>
        <w:tc>
          <w:tcPr>
            <w:tcW w:type="dxa" w:w="4560"/>
            <w:shd w:fill="FFFFFF" w:val="clear"/>
            <w:tcMar>
              <w:top w:type="dxa" w:w="60"/>
              <w:left w:type="dxa" w:w="100"/>
              <w:bottom w:type="dxa" w:w="60"/>
              <w:right w:type="dxa" w:w="100"/>
            </w:tcMar>
          </w:tcPr>
          <w:p>
            <w:r>
              <w:rPr>
                <w:sz w:val="20"/>
                <w:szCs w:val="20"/>
              </w:rPr>
              <w:t xml:space="preserve">Customer's city</w:t>
            </w:r>
          </w:p>
        </w:tc>
      </w:tr>
      <w:tr>
        <w:tc>
          <w:tcPr>
            <w:tcW w:type="dxa" w:w="2400"/>
            <w:shd w:fill="EAF2F5" w:val="clear"/>
            <w:tcMar>
              <w:top w:type="dxa" w:w="60"/>
              <w:left w:type="dxa" w:w="100"/>
              <w:bottom w:type="dxa" w:w="60"/>
              <w:right w:type="dxa" w:w="100"/>
            </w:tcMar>
          </w:tcPr>
          <w:p>
            <w:r>
              <w:rPr>
                <w:sz w:val="20"/>
                <w:szCs w:val="20"/>
              </w:rPr>
              <w:t xml:space="preserve">ProductCategory</w:t>
            </w:r>
          </w:p>
        </w:tc>
        <w:tc>
          <w:tcPr>
            <w:tcW w:type="dxa" w:w="2400"/>
            <w:shd w:fill="EAF2F5" w:val="clear"/>
            <w:tcMar>
              <w:top w:type="dxa" w:w="60"/>
              <w:left w:type="dxa" w:w="100"/>
              <w:bottom w:type="dxa" w:w="60"/>
              <w:right w:type="dxa" w:w="100"/>
            </w:tcMar>
          </w:tcPr>
          <w:p>
            <w:r>
              <w:rPr>
                <w:sz w:val="20"/>
                <w:szCs w:val="20"/>
              </w:rPr>
              <w:t xml:space="preserve">Text (categorical)</w:t>
            </w:r>
          </w:p>
        </w:tc>
        <w:tc>
          <w:tcPr>
            <w:tcW w:type="dxa" w:w="4560"/>
            <w:shd w:fill="EAF2F5" w:val="clear"/>
            <w:tcMar>
              <w:top w:type="dxa" w:w="60"/>
              <w:left w:type="dxa" w:w="100"/>
              <w:bottom w:type="dxa" w:w="60"/>
              <w:right w:type="dxa" w:w="100"/>
            </w:tcMar>
          </w:tcPr>
          <w:p>
            <w:r>
              <w:rPr>
                <w:sz w:val="20"/>
                <w:szCs w:val="20"/>
              </w:rPr>
              <w:t xml:space="preserve">Product category, e.g., Electronics</w:t>
            </w:r>
          </w:p>
        </w:tc>
      </w:tr>
      <w:tr>
        <w:tc>
          <w:tcPr>
            <w:tcW w:type="dxa" w:w="2400"/>
            <w:shd w:fill="FFFFFF" w:val="clear"/>
            <w:tcMar>
              <w:top w:type="dxa" w:w="60"/>
              <w:left w:type="dxa" w:w="100"/>
              <w:bottom w:type="dxa" w:w="60"/>
              <w:right w:type="dxa" w:w="100"/>
            </w:tcMar>
          </w:tcPr>
          <w:p>
            <w:r>
              <w:rPr>
                <w:sz w:val="20"/>
                <w:szCs w:val="20"/>
              </w:rPr>
              <w:t xml:space="preserve">ProductName</w:t>
            </w:r>
          </w:p>
        </w:tc>
        <w:tc>
          <w:tcPr>
            <w:tcW w:type="dxa" w:w="2400"/>
            <w:shd w:fill="FFFFFF" w:val="clear"/>
            <w:tcMar>
              <w:top w:type="dxa" w:w="60"/>
              <w:left w:type="dxa" w:w="100"/>
              <w:bottom w:type="dxa" w:w="60"/>
              <w:right w:type="dxa" w:w="100"/>
            </w:tcMar>
          </w:tcPr>
          <w:p>
            <w:r>
              <w:rPr>
                <w:sz w:val="20"/>
                <w:szCs w:val="20"/>
              </w:rPr>
              <w:t xml:space="preserve">Text (categorical)</w:t>
            </w:r>
          </w:p>
        </w:tc>
        <w:tc>
          <w:tcPr>
            <w:tcW w:type="dxa" w:w="4560"/>
            <w:shd w:fill="FFFFFF" w:val="clear"/>
            <w:tcMar>
              <w:top w:type="dxa" w:w="60"/>
              <w:left w:type="dxa" w:w="100"/>
              <w:bottom w:type="dxa" w:w="60"/>
              <w:right w:type="dxa" w:w="100"/>
            </w:tcMar>
          </w:tcPr>
          <w:p>
            <w:r>
              <w:rPr>
                <w:sz w:val="20"/>
                <w:szCs w:val="20"/>
              </w:rPr>
              <w:t xml:space="preserve">Specific product ordered</w:t>
            </w:r>
          </w:p>
        </w:tc>
      </w:tr>
      <w:tr>
        <w:tc>
          <w:tcPr>
            <w:tcW w:type="dxa" w:w="2400"/>
            <w:shd w:fill="EAF2F5" w:val="clear"/>
            <w:tcMar>
              <w:top w:type="dxa" w:w="60"/>
              <w:left w:type="dxa" w:w="100"/>
              <w:bottom w:type="dxa" w:w="60"/>
              <w:right w:type="dxa" w:w="100"/>
            </w:tcMar>
          </w:tcPr>
          <w:p>
            <w:r>
              <w:rPr>
                <w:sz w:val="20"/>
                <w:szCs w:val="20"/>
              </w:rPr>
              <w:t xml:space="preserve">Quantity</w:t>
            </w:r>
          </w:p>
        </w:tc>
        <w:tc>
          <w:tcPr>
            <w:tcW w:type="dxa" w:w="2400"/>
            <w:shd w:fill="EAF2F5" w:val="clear"/>
            <w:tcMar>
              <w:top w:type="dxa" w:w="60"/>
              <w:left w:type="dxa" w:w="100"/>
              <w:bottom w:type="dxa" w:w="60"/>
              <w:right w:type="dxa" w:w="100"/>
            </w:tcMar>
          </w:tcPr>
          <w:p>
            <w:r>
              <w:rPr>
                <w:sz w:val="20"/>
                <w:szCs w:val="20"/>
              </w:rPr>
              <w:t xml:space="preserve">Integer</w:t>
            </w:r>
          </w:p>
        </w:tc>
        <w:tc>
          <w:tcPr>
            <w:tcW w:type="dxa" w:w="4560"/>
            <w:shd w:fill="EAF2F5" w:val="clear"/>
            <w:tcMar>
              <w:top w:type="dxa" w:w="60"/>
              <w:left w:type="dxa" w:w="100"/>
              <w:bottom w:type="dxa" w:w="60"/>
              <w:right w:type="dxa" w:w="100"/>
            </w:tcMar>
          </w:tcPr>
          <w:p>
            <w:r>
              <w:rPr>
                <w:sz w:val="20"/>
                <w:szCs w:val="20"/>
              </w:rPr>
              <w:t xml:space="preserve">Units ordered</w:t>
            </w:r>
          </w:p>
        </w:tc>
      </w:tr>
      <w:tr>
        <w:tc>
          <w:tcPr>
            <w:tcW w:type="dxa" w:w="2400"/>
            <w:shd w:fill="FFFFFF" w:val="clear"/>
            <w:tcMar>
              <w:top w:type="dxa" w:w="60"/>
              <w:left w:type="dxa" w:w="100"/>
              <w:bottom w:type="dxa" w:w="60"/>
              <w:right w:type="dxa" w:w="100"/>
            </w:tcMar>
          </w:tcPr>
          <w:p>
            <w:r>
              <w:rPr>
                <w:sz w:val="20"/>
                <w:szCs w:val="20"/>
              </w:rPr>
              <w:t xml:space="preserve">Price</w:t>
            </w:r>
          </w:p>
        </w:tc>
        <w:tc>
          <w:tcPr>
            <w:tcW w:type="dxa" w:w="2400"/>
            <w:shd w:fill="FFFFFF" w:val="clear"/>
            <w:tcMar>
              <w:top w:type="dxa" w:w="60"/>
              <w:left w:type="dxa" w:w="100"/>
              <w:bottom w:type="dxa" w:w="60"/>
              <w:right w:type="dxa" w:w="100"/>
            </w:tcMar>
          </w:tcPr>
          <w:p>
            <w:r>
              <w:rPr>
                <w:sz w:val="20"/>
                <w:szCs w:val="20"/>
              </w:rPr>
              <w:t xml:space="preserve">Float (numeric)</w:t>
            </w:r>
          </w:p>
        </w:tc>
        <w:tc>
          <w:tcPr>
            <w:tcW w:type="dxa" w:w="4560"/>
            <w:shd w:fill="FFFFFF" w:val="clear"/>
            <w:tcMar>
              <w:top w:type="dxa" w:w="60"/>
              <w:left w:type="dxa" w:w="100"/>
              <w:bottom w:type="dxa" w:w="60"/>
              <w:right w:type="dxa" w:w="100"/>
            </w:tcMar>
          </w:tcPr>
          <w:p>
            <w:r>
              <w:rPr>
                <w:sz w:val="20"/>
                <w:szCs w:val="20"/>
              </w:rPr>
              <w:t xml:space="preserve">Unit price in ₹</w:t>
            </w:r>
          </w:p>
        </w:tc>
      </w:tr>
      <w:tr>
        <w:tc>
          <w:tcPr>
            <w:tcW w:type="dxa" w:w="2400"/>
            <w:shd w:fill="EAF2F5" w:val="clear"/>
            <w:tcMar>
              <w:top w:type="dxa" w:w="60"/>
              <w:left w:type="dxa" w:w="100"/>
              <w:bottom w:type="dxa" w:w="60"/>
              <w:right w:type="dxa" w:w="100"/>
            </w:tcMar>
          </w:tcPr>
          <w:p>
            <w:r>
              <w:rPr>
                <w:sz w:val="20"/>
                <w:szCs w:val="20"/>
              </w:rPr>
              <w:t xml:space="preserve">DiscountPercent</w:t>
            </w:r>
          </w:p>
        </w:tc>
        <w:tc>
          <w:tcPr>
            <w:tcW w:type="dxa" w:w="2400"/>
            <w:shd w:fill="EAF2F5" w:val="clear"/>
            <w:tcMar>
              <w:top w:type="dxa" w:w="60"/>
              <w:left w:type="dxa" w:w="100"/>
              <w:bottom w:type="dxa" w:w="60"/>
              <w:right w:type="dxa" w:w="100"/>
            </w:tcMar>
          </w:tcPr>
          <w:p>
            <w:r>
              <w:rPr>
                <w:sz w:val="20"/>
                <w:szCs w:val="20"/>
              </w:rPr>
              <w:t xml:space="preserve">Integer</w:t>
            </w:r>
          </w:p>
        </w:tc>
        <w:tc>
          <w:tcPr>
            <w:tcW w:type="dxa" w:w="4560"/>
            <w:shd w:fill="EAF2F5" w:val="clear"/>
            <w:tcMar>
              <w:top w:type="dxa" w:w="60"/>
              <w:left w:type="dxa" w:w="100"/>
              <w:bottom w:type="dxa" w:w="60"/>
              <w:right w:type="dxa" w:w="100"/>
            </w:tcMar>
          </w:tcPr>
          <w:p>
            <w:r>
              <w:rPr>
                <w:sz w:val="20"/>
                <w:szCs w:val="20"/>
              </w:rPr>
              <w:t xml:space="preserve">Discount applied (%)</w:t>
            </w:r>
          </w:p>
        </w:tc>
      </w:tr>
      <w:tr>
        <w:tc>
          <w:tcPr>
            <w:tcW w:type="dxa" w:w="2400"/>
            <w:shd w:fill="FFFFFF" w:val="clear"/>
            <w:tcMar>
              <w:top w:type="dxa" w:w="60"/>
              <w:left w:type="dxa" w:w="100"/>
              <w:bottom w:type="dxa" w:w="60"/>
              <w:right w:type="dxa" w:w="100"/>
            </w:tcMar>
          </w:tcPr>
          <w:p>
            <w:r>
              <w:rPr>
                <w:sz w:val="20"/>
                <w:szCs w:val="20"/>
              </w:rPr>
              <w:t xml:space="preserve">OrderDate</w:t>
            </w:r>
          </w:p>
        </w:tc>
        <w:tc>
          <w:tcPr>
            <w:tcW w:type="dxa" w:w="2400"/>
            <w:shd w:fill="FFFFFF" w:val="clear"/>
            <w:tcMar>
              <w:top w:type="dxa" w:w="60"/>
              <w:left w:type="dxa" w:w="100"/>
              <w:bottom w:type="dxa" w:w="60"/>
              <w:right w:type="dxa" w:w="100"/>
            </w:tcMar>
          </w:tcPr>
          <w:p>
            <w:r>
              <w:rPr>
                <w:sz w:val="20"/>
                <w:szCs w:val="20"/>
              </w:rPr>
              <w:t xml:space="preserve">Datetime</w:t>
            </w:r>
          </w:p>
        </w:tc>
        <w:tc>
          <w:tcPr>
            <w:tcW w:type="dxa" w:w="4560"/>
            <w:shd w:fill="FFFFFF" w:val="clear"/>
            <w:tcMar>
              <w:top w:type="dxa" w:w="60"/>
              <w:left w:type="dxa" w:w="100"/>
              <w:bottom w:type="dxa" w:w="60"/>
              <w:right w:type="dxa" w:w="100"/>
            </w:tcMar>
          </w:tcPr>
          <w:p>
            <w:r>
              <w:rPr>
                <w:sz w:val="20"/>
                <w:szCs w:val="20"/>
              </w:rPr>
              <w:t xml:space="preserve">Date the order was placed</w:t>
            </w:r>
          </w:p>
        </w:tc>
      </w:tr>
      <w:tr>
        <w:tc>
          <w:tcPr>
            <w:tcW w:type="dxa" w:w="2400"/>
            <w:shd w:fill="EAF2F5" w:val="clear"/>
            <w:tcMar>
              <w:top w:type="dxa" w:w="60"/>
              <w:left w:type="dxa" w:w="100"/>
              <w:bottom w:type="dxa" w:w="60"/>
              <w:right w:type="dxa" w:w="100"/>
            </w:tcMar>
          </w:tcPr>
          <w:p>
            <w:r>
              <w:rPr>
                <w:sz w:val="20"/>
                <w:szCs w:val="20"/>
              </w:rPr>
              <w:t xml:space="preserve">ShippingCost</w:t>
            </w:r>
          </w:p>
        </w:tc>
        <w:tc>
          <w:tcPr>
            <w:tcW w:type="dxa" w:w="2400"/>
            <w:shd w:fill="EAF2F5" w:val="clear"/>
            <w:tcMar>
              <w:top w:type="dxa" w:w="60"/>
              <w:left w:type="dxa" w:w="100"/>
              <w:bottom w:type="dxa" w:w="60"/>
              <w:right w:type="dxa" w:w="100"/>
            </w:tcMar>
          </w:tcPr>
          <w:p>
            <w:r>
              <w:rPr>
                <w:sz w:val="20"/>
                <w:szCs w:val="20"/>
              </w:rPr>
              <w:t xml:space="preserve">Float (numeric)</w:t>
            </w:r>
          </w:p>
        </w:tc>
        <w:tc>
          <w:tcPr>
            <w:tcW w:type="dxa" w:w="4560"/>
            <w:shd w:fill="EAF2F5" w:val="clear"/>
            <w:tcMar>
              <w:top w:type="dxa" w:w="60"/>
              <w:left w:type="dxa" w:w="100"/>
              <w:bottom w:type="dxa" w:w="60"/>
              <w:right w:type="dxa" w:w="100"/>
            </w:tcMar>
          </w:tcPr>
          <w:p>
            <w:r>
              <w:rPr>
                <w:sz w:val="20"/>
                <w:szCs w:val="20"/>
              </w:rPr>
              <w:t xml:space="preserve">Shipping charge in ₹</w:t>
            </w:r>
          </w:p>
        </w:tc>
      </w:tr>
      <w:tr>
        <w:tc>
          <w:tcPr>
            <w:tcW w:type="dxa" w:w="2400"/>
            <w:shd w:fill="FFFFFF" w:val="clear"/>
            <w:tcMar>
              <w:top w:type="dxa" w:w="60"/>
              <w:left w:type="dxa" w:w="100"/>
              <w:bottom w:type="dxa" w:w="60"/>
              <w:right w:type="dxa" w:w="100"/>
            </w:tcMar>
          </w:tcPr>
          <w:p>
            <w:r>
              <w:rPr>
                <w:sz w:val="20"/>
                <w:szCs w:val="20"/>
              </w:rPr>
              <w:t xml:space="preserve">DeliveryDays</w:t>
            </w:r>
          </w:p>
        </w:tc>
        <w:tc>
          <w:tcPr>
            <w:tcW w:type="dxa" w:w="2400"/>
            <w:shd w:fill="FFFFFF" w:val="clear"/>
            <w:tcMar>
              <w:top w:type="dxa" w:w="60"/>
              <w:left w:type="dxa" w:w="100"/>
              <w:bottom w:type="dxa" w:w="60"/>
              <w:right w:type="dxa" w:w="100"/>
            </w:tcMar>
          </w:tcPr>
          <w:p>
            <w:r>
              <w:rPr>
                <w:sz w:val="20"/>
                <w:szCs w:val="20"/>
              </w:rPr>
              <w:t xml:space="preserve">Integer</w:t>
            </w:r>
          </w:p>
        </w:tc>
        <w:tc>
          <w:tcPr>
            <w:tcW w:type="dxa" w:w="4560"/>
            <w:shd w:fill="FFFFFF" w:val="clear"/>
            <w:tcMar>
              <w:top w:type="dxa" w:w="60"/>
              <w:left w:type="dxa" w:w="100"/>
              <w:bottom w:type="dxa" w:w="60"/>
              <w:right w:type="dxa" w:w="100"/>
            </w:tcMar>
          </w:tcPr>
          <w:p>
            <w:r>
              <w:rPr>
                <w:sz w:val="20"/>
                <w:szCs w:val="20"/>
              </w:rPr>
              <w:t xml:space="preserve">Days taken to deliver</w:t>
            </w:r>
          </w:p>
        </w:tc>
      </w:tr>
      <w:tr>
        <w:tc>
          <w:tcPr>
            <w:tcW w:type="dxa" w:w="2400"/>
            <w:shd w:fill="EAF2F5" w:val="clear"/>
            <w:tcMar>
              <w:top w:type="dxa" w:w="60"/>
              <w:left w:type="dxa" w:w="100"/>
              <w:bottom w:type="dxa" w:w="60"/>
              <w:right w:type="dxa" w:w="100"/>
            </w:tcMar>
          </w:tcPr>
          <w:p>
            <w:r>
              <w:rPr>
                <w:sz w:val="20"/>
                <w:szCs w:val="20"/>
              </w:rPr>
              <w:t xml:space="preserve">Rating</w:t>
            </w:r>
          </w:p>
        </w:tc>
        <w:tc>
          <w:tcPr>
            <w:tcW w:type="dxa" w:w="2400"/>
            <w:shd w:fill="EAF2F5" w:val="clear"/>
            <w:tcMar>
              <w:top w:type="dxa" w:w="60"/>
              <w:left w:type="dxa" w:w="100"/>
              <w:bottom w:type="dxa" w:w="60"/>
              <w:right w:type="dxa" w:w="100"/>
            </w:tcMar>
          </w:tcPr>
          <w:p>
            <w:r>
              <w:rPr>
                <w:sz w:val="20"/>
                <w:szCs w:val="20"/>
              </w:rPr>
              <w:t xml:space="preserve">Float (numeric)</w:t>
            </w:r>
          </w:p>
        </w:tc>
        <w:tc>
          <w:tcPr>
            <w:tcW w:type="dxa" w:w="4560"/>
            <w:shd w:fill="EAF2F5" w:val="clear"/>
            <w:tcMar>
              <w:top w:type="dxa" w:w="60"/>
              <w:left w:type="dxa" w:w="100"/>
              <w:bottom w:type="dxa" w:w="60"/>
              <w:right w:type="dxa" w:w="100"/>
            </w:tcMar>
          </w:tcPr>
          <w:p>
            <w:r>
              <w:rPr>
                <w:sz w:val="20"/>
                <w:szCs w:val="20"/>
              </w:rPr>
              <w:t xml:space="preserve">Customer rating (1-5)</w:t>
            </w:r>
          </w:p>
        </w:tc>
      </w:tr>
      <w:tr>
        <w:tc>
          <w:tcPr>
            <w:tcW w:type="dxa" w:w="2400"/>
            <w:shd w:fill="FFFFFF" w:val="clear"/>
            <w:tcMar>
              <w:top w:type="dxa" w:w="60"/>
              <w:left w:type="dxa" w:w="100"/>
              <w:bottom w:type="dxa" w:w="60"/>
              <w:right w:type="dxa" w:w="100"/>
            </w:tcMar>
          </w:tcPr>
          <w:p>
            <w:r>
              <w:rPr>
                <w:sz w:val="20"/>
                <w:szCs w:val="20"/>
              </w:rPr>
              <w:t xml:space="preserve">PaymentMethod</w:t>
            </w:r>
          </w:p>
        </w:tc>
        <w:tc>
          <w:tcPr>
            <w:tcW w:type="dxa" w:w="2400"/>
            <w:shd w:fill="FFFFFF" w:val="clear"/>
            <w:tcMar>
              <w:top w:type="dxa" w:w="60"/>
              <w:left w:type="dxa" w:w="100"/>
              <w:bottom w:type="dxa" w:w="60"/>
              <w:right w:type="dxa" w:w="100"/>
            </w:tcMar>
          </w:tcPr>
          <w:p>
            <w:r>
              <w:rPr>
                <w:sz w:val="20"/>
                <w:szCs w:val="20"/>
              </w:rPr>
              <w:t xml:space="preserve">Text (categorical)</w:t>
            </w:r>
          </w:p>
        </w:tc>
        <w:tc>
          <w:tcPr>
            <w:tcW w:type="dxa" w:w="4560"/>
            <w:shd w:fill="FFFFFF" w:val="clear"/>
            <w:tcMar>
              <w:top w:type="dxa" w:w="60"/>
              <w:left w:type="dxa" w:w="100"/>
              <w:bottom w:type="dxa" w:w="60"/>
              <w:right w:type="dxa" w:w="100"/>
            </w:tcMar>
          </w:tcPr>
          <w:p>
            <w:r>
              <w:rPr>
                <w:sz w:val="20"/>
                <w:szCs w:val="20"/>
              </w:rPr>
              <w:t xml:space="preserve">Mode of payment used</w:t>
            </w:r>
          </w:p>
        </w:tc>
      </w:tr>
    </w:tbl>
    <w:p>
      <w:pPr>
        <w:pStyle w:val="Heading2"/>
        <w:spacing w:after="140" w:before="260"/>
      </w:pPr>
      <w:r>
        <w:rPr>
          <w:b/>
          <w:bCs/>
          <w:color w:val="2C6E91"/>
        </w:rPr>
        <w:t xml:space="preserve">3.4 Identification of Missing Values</w:t>
      </w:r>
    </w:p>
    <w:p>
      <w:pPr>
        <w:spacing w:after="160" w:line="300"/>
      </w:pPr>
      <w:r>
        <w:t xml:space="preserve">Missing-value analysis revealed gaps in five columns, summarized below (percentages are of the 2,035 raw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80"/>
              <w:left w:type="dxa" w:w="100"/>
              <w:bottom w:type="dxa" w:w="80"/>
              <w:right w:type="dxa" w:w="100"/>
            </w:tcMar>
          </w:tcPr>
          <w:p>
            <w:r>
              <w:rPr>
                <w:b/>
                <w:bCs/>
                <w:color w:val="FFFFFF"/>
                <w:sz w:val="20"/>
                <w:szCs w:val="20"/>
              </w:rPr>
              <w:t xml:space="preserve">Column</w:t>
            </w:r>
          </w:p>
        </w:tc>
        <w:tc>
          <w:tcPr>
            <w:tcW w:type="dxa" w:w="3120"/>
            <w:shd w:fill="1F4E5F" w:val="clear"/>
            <w:tcMar>
              <w:top w:type="dxa" w:w="80"/>
              <w:left w:type="dxa" w:w="100"/>
              <w:bottom w:type="dxa" w:w="80"/>
              <w:right w:type="dxa" w:w="100"/>
            </w:tcMar>
          </w:tcPr>
          <w:p>
            <w:r>
              <w:rPr>
                <w:b/>
                <w:bCs/>
                <w:color w:val="FFFFFF"/>
                <w:sz w:val="20"/>
                <w:szCs w:val="20"/>
              </w:rPr>
              <w:t xml:space="preserve">Missing Count</w:t>
            </w:r>
          </w:p>
        </w:tc>
        <w:tc>
          <w:tcPr>
            <w:tcW w:type="dxa" w:w="3120"/>
            <w:shd w:fill="1F4E5F" w:val="clear"/>
            <w:tcMar>
              <w:top w:type="dxa" w:w="80"/>
              <w:left w:type="dxa" w:w="100"/>
              <w:bottom w:type="dxa" w:w="80"/>
              <w:right w:type="dxa" w:w="100"/>
            </w:tcMar>
          </w:tcPr>
          <w:p>
            <w:r>
              <w:rPr>
                <w:b/>
                <w:bCs/>
                <w:color w:val="FFFFFF"/>
                <w:sz w:val="20"/>
                <w:szCs w:val="20"/>
              </w:rPr>
              <w:t xml:space="preserve">Missing %</w:t>
            </w:r>
          </w:p>
        </w:tc>
      </w:tr>
      <w:tr>
        <w:tc>
          <w:tcPr>
            <w:tcW w:type="dxa" w:w="3120"/>
            <w:shd w:fill="FFFFFF" w:val="clear"/>
            <w:tcMar>
              <w:top w:type="dxa" w:w="60"/>
              <w:left w:type="dxa" w:w="100"/>
              <w:bottom w:type="dxa" w:w="60"/>
              <w:right w:type="dxa" w:w="100"/>
            </w:tcMar>
          </w:tcPr>
          <w:p>
            <w:r>
              <w:rPr>
                <w:sz w:val="20"/>
                <w:szCs w:val="20"/>
              </w:rPr>
              <w:t xml:space="preserve">Rating</w:t>
            </w:r>
          </w:p>
        </w:tc>
        <w:tc>
          <w:tcPr>
            <w:tcW w:type="dxa" w:w="3120"/>
            <w:shd w:fill="FFFFFF" w:val="clear"/>
            <w:tcMar>
              <w:top w:type="dxa" w:w="60"/>
              <w:left w:type="dxa" w:w="100"/>
              <w:bottom w:type="dxa" w:w="60"/>
              <w:right w:type="dxa" w:w="100"/>
            </w:tcMar>
          </w:tcPr>
          <w:p>
            <w:r>
              <w:rPr>
                <w:sz w:val="20"/>
                <w:szCs w:val="20"/>
              </w:rPr>
              <w:t xml:space="preserve">153</w:t>
            </w:r>
          </w:p>
        </w:tc>
        <w:tc>
          <w:tcPr>
            <w:tcW w:type="dxa" w:w="3120"/>
            <w:shd w:fill="FFFFFF" w:val="clear"/>
            <w:tcMar>
              <w:top w:type="dxa" w:w="60"/>
              <w:left w:type="dxa" w:w="100"/>
              <w:bottom w:type="dxa" w:w="60"/>
              <w:right w:type="dxa" w:w="100"/>
            </w:tcMar>
          </w:tcPr>
          <w:p>
            <w:r>
              <w:rPr>
                <w:sz w:val="20"/>
                <w:szCs w:val="20"/>
              </w:rPr>
              <w:t xml:space="preserve">7.52%</w:t>
            </w:r>
          </w:p>
        </w:tc>
      </w:tr>
      <w:tr>
        <w:tc>
          <w:tcPr>
            <w:tcW w:type="dxa" w:w="3120"/>
            <w:shd w:fill="EAF2F5" w:val="clear"/>
            <w:tcMar>
              <w:top w:type="dxa" w:w="60"/>
              <w:left w:type="dxa" w:w="100"/>
              <w:bottom w:type="dxa" w:w="60"/>
              <w:right w:type="dxa" w:w="100"/>
            </w:tcMar>
          </w:tcPr>
          <w:p>
            <w:r>
              <w:rPr>
                <w:sz w:val="20"/>
                <w:szCs w:val="20"/>
              </w:rPr>
              <w:t xml:space="preserve">Age</w:t>
            </w:r>
          </w:p>
        </w:tc>
        <w:tc>
          <w:tcPr>
            <w:tcW w:type="dxa" w:w="3120"/>
            <w:shd w:fill="EAF2F5" w:val="clear"/>
            <w:tcMar>
              <w:top w:type="dxa" w:w="60"/>
              <w:left w:type="dxa" w:w="100"/>
              <w:bottom w:type="dxa" w:w="60"/>
              <w:right w:type="dxa" w:w="100"/>
            </w:tcMar>
          </w:tcPr>
          <w:p>
            <w:r>
              <w:rPr>
                <w:sz w:val="20"/>
                <w:szCs w:val="20"/>
              </w:rPr>
              <w:t xml:space="preserve">92</w:t>
            </w:r>
          </w:p>
        </w:tc>
        <w:tc>
          <w:tcPr>
            <w:tcW w:type="dxa" w:w="3120"/>
            <w:shd w:fill="EAF2F5" w:val="clear"/>
            <w:tcMar>
              <w:top w:type="dxa" w:w="60"/>
              <w:left w:type="dxa" w:w="100"/>
              <w:bottom w:type="dxa" w:w="60"/>
              <w:right w:type="dxa" w:w="100"/>
            </w:tcMar>
          </w:tcPr>
          <w:p>
            <w:r>
              <w:rPr>
                <w:sz w:val="20"/>
                <w:szCs w:val="20"/>
              </w:rPr>
              <w:t xml:space="preserve">4.52%</w:t>
            </w:r>
          </w:p>
        </w:tc>
      </w:tr>
      <w:tr>
        <w:tc>
          <w:tcPr>
            <w:tcW w:type="dxa" w:w="3120"/>
            <w:shd w:fill="FFFFFF" w:val="clear"/>
            <w:tcMar>
              <w:top w:type="dxa" w:w="60"/>
              <w:left w:type="dxa" w:w="100"/>
              <w:bottom w:type="dxa" w:w="60"/>
              <w:right w:type="dxa" w:w="100"/>
            </w:tcMar>
          </w:tcPr>
          <w:p>
            <w:r>
              <w:rPr>
                <w:sz w:val="20"/>
                <w:szCs w:val="20"/>
              </w:rPr>
              <w:t xml:space="preserve">ShippingCost</w:t>
            </w:r>
          </w:p>
        </w:tc>
        <w:tc>
          <w:tcPr>
            <w:tcW w:type="dxa" w:w="3120"/>
            <w:shd w:fill="FFFFFF" w:val="clear"/>
            <w:tcMar>
              <w:top w:type="dxa" w:w="60"/>
              <w:left w:type="dxa" w:w="100"/>
              <w:bottom w:type="dxa" w:w="60"/>
              <w:right w:type="dxa" w:w="100"/>
            </w:tcMar>
          </w:tcPr>
          <w:p>
            <w:r>
              <w:rPr>
                <w:sz w:val="20"/>
                <w:szCs w:val="20"/>
              </w:rPr>
              <w:t xml:space="preserve">61</w:t>
            </w:r>
          </w:p>
        </w:tc>
        <w:tc>
          <w:tcPr>
            <w:tcW w:type="dxa" w:w="3120"/>
            <w:shd w:fill="FFFFFF" w:val="clear"/>
            <w:tcMar>
              <w:top w:type="dxa" w:w="60"/>
              <w:left w:type="dxa" w:w="100"/>
              <w:bottom w:type="dxa" w:w="60"/>
              <w:right w:type="dxa" w:w="100"/>
            </w:tcMar>
          </w:tcPr>
          <w:p>
            <w:r>
              <w:rPr>
                <w:sz w:val="20"/>
                <w:szCs w:val="20"/>
              </w:rPr>
              <w:t xml:space="preserve">3.00%</w:t>
            </w:r>
          </w:p>
        </w:tc>
      </w:tr>
      <w:tr>
        <w:tc>
          <w:tcPr>
            <w:tcW w:type="dxa" w:w="3120"/>
            <w:shd w:fill="EAF2F5" w:val="clear"/>
            <w:tcMar>
              <w:top w:type="dxa" w:w="60"/>
              <w:left w:type="dxa" w:w="100"/>
              <w:bottom w:type="dxa" w:w="60"/>
              <w:right w:type="dxa" w:w="100"/>
            </w:tcMar>
          </w:tcPr>
          <w:p>
            <w:r>
              <w:rPr>
                <w:sz w:val="20"/>
                <w:szCs w:val="20"/>
              </w:rPr>
              <w:t xml:space="preserve">City</w:t>
            </w:r>
          </w:p>
        </w:tc>
        <w:tc>
          <w:tcPr>
            <w:tcW w:type="dxa" w:w="3120"/>
            <w:shd w:fill="EAF2F5" w:val="clear"/>
            <w:tcMar>
              <w:top w:type="dxa" w:w="60"/>
              <w:left w:type="dxa" w:w="100"/>
              <w:bottom w:type="dxa" w:w="60"/>
              <w:right w:type="dxa" w:w="100"/>
            </w:tcMar>
          </w:tcPr>
          <w:p>
            <w:r>
              <w:rPr>
                <w:sz w:val="20"/>
                <w:szCs w:val="20"/>
              </w:rPr>
              <w:t xml:space="preserve">42</w:t>
            </w:r>
          </w:p>
        </w:tc>
        <w:tc>
          <w:tcPr>
            <w:tcW w:type="dxa" w:w="3120"/>
            <w:shd w:fill="EAF2F5" w:val="clear"/>
            <w:tcMar>
              <w:top w:type="dxa" w:w="60"/>
              <w:left w:type="dxa" w:w="100"/>
              <w:bottom w:type="dxa" w:w="60"/>
              <w:right w:type="dxa" w:w="100"/>
            </w:tcMar>
          </w:tcPr>
          <w:p>
            <w:r>
              <w:rPr>
                <w:sz w:val="20"/>
                <w:szCs w:val="20"/>
              </w:rPr>
              <w:t xml:space="preserve">2.06%</w:t>
            </w:r>
          </w:p>
        </w:tc>
      </w:tr>
      <w:tr>
        <w:tc>
          <w:tcPr>
            <w:tcW w:type="dxa" w:w="3120"/>
            <w:shd w:fill="FFFFFF" w:val="clear"/>
            <w:tcMar>
              <w:top w:type="dxa" w:w="60"/>
              <w:left w:type="dxa" w:w="100"/>
              <w:bottom w:type="dxa" w:w="60"/>
              <w:right w:type="dxa" w:w="100"/>
            </w:tcMar>
          </w:tcPr>
          <w:p>
            <w:r>
              <w:rPr>
                <w:sz w:val="20"/>
                <w:szCs w:val="20"/>
              </w:rPr>
              <w:t xml:space="preserve">PaymentMethod</w:t>
            </w:r>
          </w:p>
        </w:tc>
        <w:tc>
          <w:tcPr>
            <w:tcW w:type="dxa" w:w="3120"/>
            <w:shd w:fill="FFFFFF" w:val="clear"/>
            <w:tcMar>
              <w:top w:type="dxa" w:w="60"/>
              <w:left w:type="dxa" w:w="100"/>
              <w:bottom w:type="dxa" w:w="60"/>
              <w:right w:type="dxa" w:w="100"/>
            </w:tcMar>
          </w:tcPr>
          <w:p>
            <w:r>
              <w:rPr>
                <w:sz w:val="20"/>
                <w:szCs w:val="20"/>
              </w:rPr>
              <w:t xml:space="preserve">35</w:t>
            </w:r>
          </w:p>
        </w:tc>
        <w:tc>
          <w:tcPr>
            <w:tcW w:type="dxa" w:w="3120"/>
            <w:shd w:fill="FFFFFF" w:val="clear"/>
            <w:tcMar>
              <w:top w:type="dxa" w:w="60"/>
              <w:left w:type="dxa" w:w="100"/>
              <w:bottom w:type="dxa" w:w="60"/>
              <w:right w:type="dxa" w:w="100"/>
            </w:tcMar>
          </w:tcPr>
          <w:p>
            <w:r>
              <w:rPr>
                <w:sz w:val="20"/>
                <w:szCs w:val="20"/>
              </w:rPr>
              <w:t xml:space="preserve">1.72%</w:t>
            </w:r>
          </w:p>
        </w:tc>
      </w:tr>
    </w:tbl>
    <w:p>
      <w:pPr>
        <w:pStyle w:val="Heading2"/>
        <w:spacing w:after="140" w:before="260"/>
      </w:pPr>
      <w:r>
        <w:rPr>
          <w:b/>
          <w:bCs/>
          <w:color w:val="2C6E91"/>
        </w:rPr>
        <w:t xml:space="preserve">3.5 Duplicate and Incorrect Records</w:t>
      </w:r>
    </w:p>
    <w:p>
      <w:pPr>
        <w:spacing w:after="160" w:line="300"/>
      </w:pPr>
      <w:r>
        <w:t xml:space="preserve">Beyond missing values, the raw dataset also contained duplicate rows and clearly invalid entries that needed correction before analysis:</w:t>
      </w:r>
    </w:p>
    <w:p>
      <w:pPr>
        <w:pStyle w:val="ListParagraph"/>
        <w:numPr>
          <w:ilvl w:val="0"/>
          <w:numId w:val="2"/>
        </w:numPr>
        <w:spacing w:after="80"/>
      </w:pPr>
      <w:r>
        <w:t xml:space="preserve">Exact duplicate rows: 26 (identical records appearing more than once).</w:t>
      </w:r>
    </w:p>
    <w:p>
      <w:pPr>
        <w:pStyle w:val="ListParagraph"/>
        <w:numPr>
          <w:ilvl w:val="0"/>
          <w:numId w:val="2"/>
        </w:numPr>
        <w:spacing w:after="80"/>
      </w:pPr>
      <w:r>
        <w:t xml:space="preserve">Duplicate OrderIDs with conflicting data (data-entry errors): 9 additional records.</w:t>
      </w:r>
    </w:p>
    <w:p>
      <w:pPr>
        <w:pStyle w:val="ListParagraph"/>
        <w:numPr>
          <w:ilvl w:val="0"/>
          <w:numId w:val="2"/>
        </w:numPr>
        <w:spacing w:after="80"/>
      </w:pPr>
      <w:r>
        <w:t xml:space="preserve">Negative Price values (sign errors): 6 records.</w:t>
      </w:r>
    </w:p>
    <w:p>
      <w:pPr>
        <w:pStyle w:val="ListParagraph"/>
        <w:numPr>
          <w:ilvl w:val="0"/>
          <w:numId w:val="2"/>
        </w:numPr>
        <w:spacing w:after="80"/>
      </w:pPr>
      <w:r>
        <w:t xml:space="preserve">Invalid orders with Quantity ≤ 0: 4 records.</w:t>
      </w:r>
    </w:p>
    <w:p>
      <w:pPr>
        <w:pStyle w:val="ListParagraph"/>
        <w:numPr>
          <w:ilvl w:val="0"/>
          <w:numId w:val="2"/>
        </w:numPr>
        <w:spacing w:after="80"/>
      </w:pPr>
      <w:r>
        <w:t xml:space="preserve">Inconsistent text casing in the City field (e.g., "mumbai" vs "Mumbai"): 99 values.</w:t>
      </w:r>
    </w:p>
    <w:p>
      <w:pPr>
        <w:pStyle w:val="Heading2"/>
        <w:spacing w:after="140" w:before="260"/>
      </w:pPr>
      <w:r>
        <w:rPr>
          <w:b/>
          <w:bCs/>
          <w:color w:val="2C6E91"/>
        </w:rPr>
        <w:t xml:space="preserve">3.6 Handling of Missing Values and Data Cleaning</w:t>
      </w:r>
    </w:p>
    <w:p>
      <w:pPr>
        <w:spacing w:after="160" w:line="300"/>
      </w:pPr>
      <w:r>
        <w:t xml:space="preserve">The following cleaning strategy was applied, chosen to preserve as much genuine data as possible while removing records that could distort analysis:</w:t>
      </w:r>
    </w:p>
    <w:p>
      <w:pPr>
        <w:pStyle w:val="ListParagraph"/>
        <w:numPr>
          <w:ilvl w:val="0"/>
          <w:numId w:val="2"/>
        </w:numPr>
        <w:spacing w:after="80"/>
      </w:pPr>
      <w:r>
        <w:t xml:space="preserve">Exact duplicate rows were dropped entirely (26 rows removed).</w:t>
      </w:r>
    </w:p>
    <w:p>
      <w:pPr>
        <w:pStyle w:val="ListParagraph"/>
        <w:numPr>
          <w:ilvl w:val="0"/>
          <w:numId w:val="2"/>
        </w:numPr>
        <w:spacing w:after="80"/>
      </w:pPr>
      <w:r>
        <w:t xml:space="preserve">Duplicate OrderIDs were resolved by keeping only the first occurrence (9 rows removed).</w:t>
      </w:r>
    </w:p>
    <w:p>
      <w:pPr>
        <w:pStyle w:val="ListParagraph"/>
        <w:numPr>
          <w:ilvl w:val="0"/>
          <w:numId w:val="2"/>
        </w:numPr>
        <w:spacing w:after="80"/>
      </w:pPr>
      <w:r>
        <w:t xml:space="preserve">Records with Quantity ≤ 0 were removed as invalid orders (4 rows removed).</w:t>
      </w:r>
    </w:p>
    <w:p>
      <w:pPr>
        <w:pStyle w:val="ListParagraph"/>
        <w:numPr>
          <w:ilvl w:val="0"/>
          <w:numId w:val="2"/>
        </w:numPr>
        <w:spacing w:after="80"/>
      </w:pPr>
      <w:r>
        <w:t xml:space="preserve">Negative Price values were corrected by taking the absolute value, since these were identified as sign-entry errors rather than genuinely missing data.</w:t>
      </w:r>
    </w:p>
    <w:p>
      <w:pPr>
        <w:pStyle w:val="ListParagraph"/>
        <w:numPr>
          <w:ilvl w:val="0"/>
          <w:numId w:val="2"/>
        </w:numPr>
        <w:spacing w:after="80"/>
      </w:pPr>
      <w:r>
        <w:t xml:space="preserve">Text fields (City, ProductCategory, PaymentMethod) were standardized to consistent Title Case formatting.</w:t>
      </w:r>
    </w:p>
    <w:p>
      <w:pPr>
        <w:pStyle w:val="ListParagraph"/>
        <w:numPr>
          <w:ilvl w:val="0"/>
          <w:numId w:val="2"/>
        </w:numPr>
        <w:spacing w:after="80"/>
      </w:pPr>
      <w:r>
        <w:t xml:space="preserve">Numeric missing values (Age, ShippingCost, Rating) were imputed using the median, which is robust to skew and outliers.</w:t>
      </w:r>
    </w:p>
    <w:p>
      <w:pPr>
        <w:pStyle w:val="ListParagraph"/>
        <w:numPr>
          <w:ilvl w:val="0"/>
          <w:numId w:val="2"/>
        </w:numPr>
        <w:spacing w:after="80"/>
      </w:pPr>
      <w:r>
        <w:t xml:space="preserve">Categorical missing values (City, PaymentMethod) were imputed using the mode (most frequent category).</w:t>
      </w:r>
    </w:p>
    <w:p>
      <w:pPr>
        <w:pStyle w:val="ListParagraph"/>
        <w:numPr>
          <w:ilvl w:val="0"/>
          <w:numId w:val="2"/>
        </w:numPr>
        <w:spacing w:after="80"/>
      </w:pPr>
      <w:r>
        <w:t xml:space="preserve">Extreme outliers in Price and Quantity were addressed using IQR-based capping (winsorization) in a separate derived column, preserving the original values for reference while providing an outlier-controlled version for modeling.</w:t>
      </w:r>
    </w:p>
    <w:p>
      <w:pPr>
        <w:spacing w:after="160" w:line="300"/>
      </w:pPr>
      <w:r>
        <w:t xml:space="preserve">After cleaning, the dataset contains zero missing values and zero duplicate rows.</w:t>
      </w:r>
    </w:p>
    <w:p>
      <w:pPr>
        <w:pStyle w:val="Heading2"/>
        <w:spacing w:after="140" w:before="260"/>
      </w:pPr>
      <w:r>
        <w:rPr>
          <w:b/>
          <w:bCs/>
          <w:color w:val="2C6E91"/>
        </w:rPr>
        <w:t xml:space="preserve">3.7 Dataset Preparation for Analysis</w:t>
      </w:r>
    </w:p>
    <w:p>
      <w:pPr>
        <w:spacing w:after="160" w:line="300"/>
      </w:pPr>
      <w:r>
        <w:t xml:space="preserve">To support the exploratory analysis in Task 4, several new columns were engineered from the cleaned base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80"/>
              <w:left w:type="dxa" w:w="100"/>
              <w:bottom w:type="dxa" w:w="80"/>
              <w:right w:type="dxa" w:w="100"/>
            </w:tcMar>
          </w:tcPr>
          <w:p>
            <w:r>
              <w:rPr>
                <w:b/>
                <w:bCs/>
                <w:color w:val="FFFFFF"/>
                <w:sz w:val="20"/>
                <w:szCs w:val="20"/>
              </w:rPr>
              <w:t xml:space="preserve">New Column</w:t>
            </w:r>
          </w:p>
        </w:tc>
        <w:tc>
          <w:tcPr>
            <w:tcW w:type="dxa" w:w="4680"/>
            <w:shd w:fill="1F4E5F" w:val="clear"/>
            <w:tcMar>
              <w:top w:type="dxa" w:w="80"/>
              <w:left w:type="dxa" w:w="100"/>
              <w:bottom w:type="dxa" w:w="80"/>
              <w:right w:type="dxa" w:w="100"/>
            </w:tcMar>
          </w:tcPr>
          <w:p>
            <w:r>
              <w:rPr>
                <w:b/>
                <w:bCs/>
                <w:color w:val="FFFFFF"/>
                <w:sz w:val="20"/>
                <w:szCs w:val="20"/>
              </w:rPr>
              <w:t xml:space="preserve">Purpose</w:t>
            </w:r>
          </w:p>
        </w:tc>
      </w:tr>
      <w:tr>
        <w:tc>
          <w:tcPr>
            <w:tcW w:type="dxa" w:w="4680"/>
            <w:shd w:fill="FFFFFF" w:val="clear"/>
            <w:tcMar>
              <w:top w:type="dxa" w:w="60"/>
              <w:left w:type="dxa" w:w="100"/>
              <w:bottom w:type="dxa" w:w="60"/>
              <w:right w:type="dxa" w:w="100"/>
            </w:tcMar>
          </w:tcPr>
          <w:p>
            <w:r>
              <w:rPr>
                <w:sz w:val="20"/>
                <w:szCs w:val="20"/>
              </w:rPr>
              <w:t xml:space="preserve">TotalAmount</w:t>
            </w:r>
          </w:p>
        </w:tc>
        <w:tc>
          <w:tcPr>
            <w:tcW w:type="dxa" w:w="4680"/>
            <w:shd w:fill="FFFFFF" w:val="clear"/>
            <w:tcMar>
              <w:top w:type="dxa" w:w="60"/>
              <w:left w:type="dxa" w:w="100"/>
              <w:bottom w:type="dxa" w:w="60"/>
              <w:right w:type="dxa" w:w="100"/>
            </w:tcMar>
          </w:tcPr>
          <w:p>
            <w:r>
              <w:rPr>
                <w:sz w:val="20"/>
                <w:szCs w:val="20"/>
              </w:rPr>
              <w:t xml:space="preserve">Price × Quantity, adjusted for discount — represents order revenue</w:t>
            </w:r>
          </w:p>
        </w:tc>
      </w:tr>
      <w:tr>
        <w:tc>
          <w:tcPr>
            <w:tcW w:type="dxa" w:w="4680"/>
            <w:shd w:fill="EAF2F5" w:val="clear"/>
            <w:tcMar>
              <w:top w:type="dxa" w:w="60"/>
              <w:left w:type="dxa" w:w="100"/>
              <w:bottom w:type="dxa" w:w="60"/>
              <w:right w:type="dxa" w:w="100"/>
            </w:tcMar>
          </w:tcPr>
          <w:p>
            <w:r>
              <w:rPr>
                <w:sz w:val="20"/>
                <w:szCs w:val="20"/>
              </w:rPr>
              <w:t xml:space="preserve">OrderMonth</w:t>
            </w:r>
          </w:p>
        </w:tc>
        <w:tc>
          <w:tcPr>
            <w:tcW w:type="dxa" w:w="4680"/>
            <w:shd w:fill="EAF2F5" w:val="clear"/>
            <w:tcMar>
              <w:top w:type="dxa" w:w="60"/>
              <w:left w:type="dxa" w:w="100"/>
              <w:bottom w:type="dxa" w:w="60"/>
              <w:right w:type="dxa" w:w="100"/>
            </w:tcMar>
          </w:tcPr>
          <w:p>
            <w:r>
              <w:rPr>
                <w:sz w:val="20"/>
                <w:szCs w:val="20"/>
              </w:rPr>
              <w:t xml:space="preserve">Year-Month extracted from OrderDate, used for trend analysis</w:t>
            </w:r>
          </w:p>
        </w:tc>
      </w:tr>
      <w:tr>
        <w:tc>
          <w:tcPr>
            <w:tcW w:type="dxa" w:w="4680"/>
            <w:shd w:fill="FFFFFF" w:val="clear"/>
            <w:tcMar>
              <w:top w:type="dxa" w:w="60"/>
              <w:left w:type="dxa" w:w="100"/>
              <w:bottom w:type="dxa" w:w="60"/>
              <w:right w:type="dxa" w:w="100"/>
            </w:tcMar>
          </w:tcPr>
          <w:p>
            <w:r>
              <w:rPr>
                <w:sz w:val="20"/>
                <w:szCs w:val="20"/>
              </w:rPr>
              <w:t xml:space="preserve">OrderYear</w:t>
            </w:r>
          </w:p>
        </w:tc>
        <w:tc>
          <w:tcPr>
            <w:tcW w:type="dxa" w:w="4680"/>
            <w:shd w:fill="FFFFFF" w:val="clear"/>
            <w:tcMar>
              <w:top w:type="dxa" w:w="60"/>
              <w:left w:type="dxa" w:w="100"/>
              <w:bottom w:type="dxa" w:w="60"/>
              <w:right w:type="dxa" w:w="100"/>
            </w:tcMar>
          </w:tcPr>
          <w:p>
            <w:r>
              <w:rPr>
                <w:sz w:val="20"/>
                <w:szCs w:val="20"/>
              </w:rPr>
              <w:t xml:space="preserve">Calendar year of the order</w:t>
            </w:r>
          </w:p>
        </w:tc>
      </w:tr>
      <w:tr>
        <w:tc>
          <w:tcPr>
            <w:tcW w:type="dxa" w:w="4680"/>
            <w:shd w:fill="EAF2F5" w:val="clear"/>
            <w:tcMar>
              <w:top w:type="dxa" w:w="60"/>
              <w:left w:type="dxa" w:w="100"/>
              <w:bottom w:type="dxa" w:w="60"/>
              <w:right w:type="dxa" w:w="100"/>
            </w:tcMar>
          </w:tcPr>
          <w:p>
            <w:r>
              <w:rPr>
                <w:sz w:val="20"/>
                <w:szCs w:val="20"/>
              </w:rPr>
              <w:t xml:space="preserve">AgeGroup</w:t>
            </w:r>
          </w:p>
        </w:tc>
        <w:tc>
          <w:tcPr>
            <w:tcW w:type="dxa" w:w="4680"/>
            <w:shd w:fill="EAF2F5" w:val="clear"/>
            <w:tcMar>
              <w:top w:type="dxa" w:w="60"/>
              <w:left w:type="dxa" w:w="100"/>
              <w:bottom w:type="dxa" w:w="60"/>
              <w:right w:type="dxa" w:w="100"/>
            </w:tcMar>
          </w:tcPr>
          <w:p>
            <w:r>
              <w:rPr>
                <w:sz w:val="20"/>
                <w:szCs w:val="20"/>
              </w:rPr>
              <w:t xml:space="preserve">Age binned into 5 groups (&lt;=25, 26-35, 36-45, 46-55, 56+)</w:t>
            </w:r>
          </w:p>
        </w:tc>
      </w:tr>
      <w:tr>
        <w:tc>
          <w:tcPr>
            <w:tcW w:type="dxa" w:w="4680"/>
            <w:shd w:fill="FFFFFF" w:val="clear"/>
            <w:tcMar>
              <w:top w:type="dxa" w:w="60"/>
              <w:left w:type="dxa" w:w="100"/>
              <w:bottom w:type="dxa" w:w="60"/>
              <w:right w:type="dxa" w:w="100"/>
            </w:tcMar>
          </w:tcPr>
          <w:p>
            <w:r>
              <w:rPr>
                <w:sz w:val="20"/>
                <w:szCs w:val="20"/>
              </w:rPr>
              <w:t xml:space="preserve">Price_Capped / Quantity_Capped</w:t>
            </w:r>
          </w:p>
        </w:tc>
        <w:tc>
          <w:tcPr>
            <w:tcW w:type="dxa" w:w="4680"/>
            <w:shd w:fill="FFFFFF" w:val="clear"/>
            <w:tcMar>
              <w:top w:type="dxa" w:w="60"/>
              <w:left w:type="dxa" w:w="100"/>
              <w:bottom w:type="dxa" w:w="60"/>
              <w:right w:type="dxa" w:w="100"/>
            </w:tcMar>
          </w:tcPr>
          <w:p>
            <w:r>
              <w:rPr>
                <w:sz w:val="20"/>
                <w:szCs w:val="20"/>
              </w:rPr>
              <w:t xml:space="preserve">Outlier-controlled versions of Price and Quantity</w:t>
            </w:r>
          </w:p>
        </w:tc>
      </w:tr>
    </w:tbl>
    <w:p>
      <w:pPr>
        <w:spacing w:after="160" w:line="300"/>
      </w:pPr>
      <w:r>
        <w:t xml:space="preserve">Summary of the cleaning pipeline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80"/>
              <w:left w:type="dxa" w:w="100"/>
              <w:bottom w:type="dxa" w:w="80"/>
              <w:right w:type="dxa" w:w="100"/>
            </w:tcMar>
          </w:tcPr>
          <w:p>
            <w:r>
              <w:rPr>
                <w:b/>
                <w:bCs/>
                <w:color w:val="FFFFFF"/>
                <w:sz w:val="20"/>
                <w:szCs w:val="20"/>
              </w:rPr>
              <w:t xml:space="preserve">Stage</w:t>
            </w:r>
          </w:p>
        </w:tc>
        <w:tc>
          <w:tcPr>
            <w:tcW w:type="dxa" w:w="4680"/>
            <w:shd w:fill="1F4E5F" w:val="clear"/>
            <w:tcMar>
              <w:top w:type="dxa" w:w="80"/>
              <w:left w:type="dxa" w:w="100"/>
              <w:bottom w:type="dxa" w:w="80"/>
              <w:right w:type="dxa" w:w="100"/>
            </w:tcMar>
          </w:tcPr>
          <w:p>
            <w:r>
              <w:rPr>
                <w:b/>
                <w:bCs/>
                <w:color w:val="FFFFFF"/>
                <w:sz w:val="20"/>
                <w:szCs w:val="20"/>
              </w:rPr>
              <w:t xml:space="preserve">Row Count</w:t>
            </w:r>
          </w:p>
        </w:tc>
      </w:tr>
      <w:tr>
        <w:tc>
          <w:tcPr>
            <w:tcW w:type="dxa" w:w="4680"/>
            <w:shd w:fill="FFFFFF" w:val="clear"/>
            <w:tcMar>
              <w:top w:type="dxa" w:w="60"/>
              <w:left w:type="dxa" w:w="100"/>
              <w:bottom w:type="dxa" w:w="60"/>
              <w:right w:type="dxa" w:w="100"/>
            </w:tcMar>
          </w:tcPr>
          <w:p>
            <w:r>
              <w:rPr>
                <w:sz w:val="20"/>
                <w:szCs w:val="20"/>
              </w:rPr>
              <w:t xml:space="preserve">Initial (raw) rows</w:t>
            </w:r>
          </w:p>
        </w:tc>
        <w:tc>
          <w:tcPr>
            <w:tcW w:type="dxa" w:w="4680"/>
            <w:shd w:fill="FFFFFF" w:val="clear"/>
            <w:tcMar>
              <w:top w:type="dxa" w:w="60"/>
              <w:left w:type="dxa" w:w="100"/>
              <w:bottom w:type="dxa" w:w="60"/>
              <w:right w:type="dxa" w:w="100"/>
            </w:tcMar>
          </w:tcPr>
          <w:p>
            <w:r>
              <w:rPr>
                <w:sz w:val="20"/>
                <w:szCs w:val="20"/>
              </w:rPr>
              <w:t xml:space="preserve">2,035</w:t>
            </w:r>
          </w:p>
        </w:tc>
      </w:tr>
      <w:tr>
        <w:tc>
          <w:tcPr>
            <w:tcW w:type="dxa" w:w="4680"/>
            <w:shd w:fill="EAF2F5" w:val="clear"/>
            <w:tcMar>
              <w:top w:type="dxa" w:w="60"/>
              <w:left w:type="dxa" w:w="100"/>
              <w:bottom w:type="dxa" w:w="60"/>
              <w:right w:type="dxa" w:w="100"/>
            </w:tcMar>
          </w:tcPr>
          <w:p>
            <w:r>
              <w:rPr>
                <w:sz w:val="20"/>
                <w:szCs w:val="20"/>
              </w:rPr>
              <w:t xml:space="preserve">After removing exact duplicates</w:t>
            </w:r>
          </w:p>
        </w:tc>
        <w:tc>
          <w:tcPr>
            <w:tcW w:type="dxa" w:w="4680"/>
            <w:shd w:fill="EAF2F5" w:val="clear"/>
            <w:tcMar>
              <w:top w:type="dxa" w:w="60"/>
              <w:left w:type="dxa" w:w="100"/>
              <w:bottom w:type="dxa" w:w="60"/>
              <w:right w:type="dxa" w:w="100"/>
            </w:tcMar>
          </w:tcPr>
          <w:p>
            <w:r>
              <w:rPr>
                <w:sz w:val="20"/>
                <w:szCs w:val="20"/>
              </w:rPr>
              <w:t xml:space="preserve">2,009</w:t>
            </w:r>
          </w:p>
        </w:tc>
      </w:tr>
      <w:tr>
        <w:tc>
          <w:tcPr>
            <w:tcW w:type="dxa" w:w="4680"/>
            <w:shd w:fill="FFFFFF" w:val="clear"/>
            <w:tcMar>
              <w:top w:type="dxa" w:w="60"/>
              <w:left w:type="dxa" w:w="100"/>
              <w:bottom w:type="dxa" w:w="60"/>
              <w:right w:type="dxa" w:w="100"/>
            </w:tcMar>
          </w:tcPr>
          <w:p>
            <w:r>
              <w:rPr>
                <w:sz w:val="20"/>
                <w:szCs w:val="20"/>
              </w:rPr>
              <w:t xml:space="preserve">After removing duplicate OrderIDs</w:t>
            </w:r>
          </w:p>
        </w:tc>
        <w:tc>
          <w:tcPr>
            <w:tcW w:type="dxa" w:w="4680"/>
            <w:shd w:fill="FFFFFF" w:val="clear"/>
            <w:tcMar>
              <w:top w:type="dxa" w:w="60"/>
              <w:left w:type="dxa" w:w="100"/>
              <w:bottom w:type="dxa" w:w="60"/>
              <w:right w:type="dxa" w:w="100"/>
            </w:tcMar>
          </w:tcPr>
          <w:p>
            <w:r>
              <w:rPr>
                <w:sz w:val="20"/>
                <w:szCs w:val="20"/>
              </w:rPr>
              <w:t xml:space="preserve">2,000</w:t>
            </w:r>
          </w:p>
        </w:tc>
      </w:tr>
      <w:tr>
        <w:tc>
          <w:tcPr>
            <w:tcW w:type="dxa" w:w="4680"/>
            <w:shd w:fill="EAF2F5" w:val="clear"/>
            <w:tcMar>
              <w:top w:type="dxa" w:w="60"/>
              <w:left w:type="dxa" w:w="100"/>
              <w:bottom w:type="dxa" w:w="60"/>
              <w:right w:type="dxa" w:w="100"/>
            </w:tcMar>
          </w:tcPr>
          <w:p>
            <w:r>
              <w:rPr>
                <w:sz w:val="20"/>
                <w:szCs w:val="20"/>
              </w:rPr>
              <w:t xml:space="preserve">After removing invalid Quantity ≤ 0</w:t>
            </w:r>
          </w:p>
        </w:tc>
        <w:tc>
          <w:tcPr>
            <w:tcW w:type="dxa" w:w="4680"/>
            <w:shd w:fill="EAF2F5" w:val="clear"/>
            <w:tcMar>
              <w:top w:type="dxa" w:w="60"/>
              <w:left w:type="dxa" w:w="100"/>
              <w:bottom w:type="dxa" w:w="60"/>
              <w:right w:type="dxa" w:w="100"/>
            </w:tcMar>
          </w:tcPr>
          <w:p>
            <w:r>
              <w:rPr>
                <w:sz w:val="20"/>
                <w:szCs w:val="20"/>
              </w:rPr>
              <w:t xml:space="preserve">1,996</w:t>
            </w:r>
          </w:p>
        </w:tc>
      </w:tr>
      <w:tr>
        <w:tc>
          <w:tcPr>
            <w:tcW w:type="dxa" w:w="4680"/>
            <w:shd w:fill="FFFFFF" w:val="clear"/>
            <w:tcMar>
              <w:top w:type="dxa" w:w="60"/>
              <w:left w:type="dxa" w:w="100"/>
              <w:bottom w:type="dxa" w:w="60"/>
              <w:right w:type="dxa" w:w="100"/>
            </w:tcMar>
          </w:tcPr>
          <w:p>
            <w:r>
              <w:rPr>
                <w:sz w:val="20"/>
                <w:szCs w:val="20"/>
              </w:rPr>
              <w:t xml:space="preserve">Final cleaned dataset (rows × columns)</w:t>
            </w:r>
          </w:p>
        </w:tc>
        <w:tc>
          <w:tcPr>
            <w:tcW w:type="dxa" w:w="4680"/>
            <w:shd w:fill="FFFFFF" w:val="clear"/>
            <w:tcMar>
              <w:top w:type="dxa" w:w="60"/>
              <w:left w:type="dxa" w:w="100"/>
              <w:bottom w:type="dxa" w:w="60"/>
              <w:right w:type="dxa" w:w="100"/>
            </w:tcMar>
          </w:tcPr>
          <w:p>
            <w:r>
              <w:rPr>
                <w:sz w:val="20"/>
                <w:szCs w:val="20"/>
              </w:rPr>
              <w:t xml:space="preserve">1,996 × 21</w:t>
            </w:r>
          </w:p>
        </w:tc>
      </w:tr>
    </w:tbl>
    <w:p>
      <w:r>
        <w:br w:type="page"/>
      </w:r>
    </w:p>
    <w:p>
      <w:pPr>
        <w:pStyle w:val="Heading1"/>
        <w:pBdr>
          <w:bottom w:val="single" w:color="2C6E91" w:sz="8" w:space="4"/>
        </w:pBdr>
        <w:spacing w:after="180" w:before="360"/>
      </w:pPr>
      <w:r>
        <w:rPr>
          <w:b/>
          <w:bCs/>
          <w:color w:val="1F4E5F"/>
        </w:rPr>
        <w:t xml:space="preserve">Task 4: Exploratory Data Analysis (EDA)</w:t>
      </w:r>
    </w:p>
    <w:p>
      <w:pPr>
        <w:pStyle w:val="Heading2"/>
        <w:spacing w:after="140" w:before="260"/>
      </w:pPr>
      <w:r>
        <w:rPr>
          <w:b/>
          <w:bCs/>
          <w:color w:val="2C6E91"/>
        </w:rPr>
        <w:t xml:space="preserve">4.1 Descriptive Statistics</w:t>
      </w:r>
    </w:p>
    <w:p>
      <w:pPr>
        <w:spacing w:after="160" w:line="300"/>
      </w:pPr>
      <w:r>
        <w:t xml:space="preserve">Key descriptive statistics for the numeric fields in the cleaned dataset are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600"/>
        <w:gridCol w:w="1600"/>
        <w:gridCol w:w="1600"/>
        <w:gridCol w:w="1800"/>
        <w:gridCol w:w="1400"/>
      </w:tblGrid>
      <w:tr>
        <w:trPr>
          <w:tblHeader/>
        </w:trPr>
        <w:tc>
          <w:tcPr>
            <w:tcW w:type="dxa" w:w="1360"/>
            <w:shd w:fill="1F4E5F" w:val="clear"/>
            <w:tcMar>
              <w:top w:type="dxa" w:w="80"/>
              <w:left w:type="dxa" w:w="100"/>
              <w:bottom w:type="dxa" w:w="80"/>
              <w:right w:type="dxa" w:w="100"/>
            </w:tcMar>
          </w:tcPr>
          <w:p>
            <w:r>
              <w:rPr>
                <w:b/>
                <w:bCs/>
                <w:color w:val="FFFFFF"/>
                <w:sz w:val="20"/>
                <w:szCs w:val="20"/>
              </w:rPr>
              <w:t xml:space="preserve">Metric</w:t>
            </w:r>
          </w:p>
        </w:tc>
        <w:tc>
          <w:tcPr>
            <w:tcW w:type="dxa" w:w="1600"/>
            <w:shd w:fill="1F4E5F" w:val="clear"/>
            <w:tcMar>
              <w:top w:type="dxa" w:w="80"/>
              <w:left w:type="dxa" w:w="100"/>
              <w:bottom w:type="dxa" w:w="80"/>
              <w:right w:type="dxa" w:w="100"/>
            </w:tcMar>
          </w:tcPr>
          <w:p>
            <w:r>
              <w:rPr>
                <w:b/>
                <w:bCs/>
                <w:color w:val="FFFFFF"/>
                <w:sz w:val="20"/>
                <w:szCs w:val="20"/>
              </w:rPr>
              <w:t xml:space="preserve">Age</w:t>
            </w:r>
          </w:p>
        </w:tc>
        <w:tc>
          <w:tcPr>
            <w:tcW w:type="dxa" w:w="1600"/>
            <w:shd w:fill="1F4E5F" w:val="clear"/>
            <w:tcMar>
              <w:top w:type="dxa" w:w="80"/>
              <w:left w:type="dxa" w:w="100"/>
              <w:bottom w:type="dxa" w:w="80"/>
              <w:right w:type="dxa" w:w="100"/>
            </w:tcMar>
          </w:tcPr>
          <w:p>
            <w:r>
              <w:rPr>
                <w:b/>
                <w:bCs/>
                <w:color w:val="FFFFFF"/>
                <w:sz w:val="20"/>
                <w:szCs w:val="20"/>
              </w:rPr>
              <w:t xml:space="preserve">Price (₹)</w:t>
            </w:r>
          </w:p>
        </w:tc>
        <w:tc>
          <w:tcPr>
            <w:tcW w:type="dxa" w:w="1600"/>
            <w:shd w:fill="1F4E5F" w:val="clear"/>
            <w:tcMar>
              <w:top w:type="dxa" w:w="80"/>
              <w:left w:type="dxa" w:w="100"/>
              <w:bottom w:type="dxa" w:w="80"/>
              <w:right w:type="dxa" w:w="100"/>
            </w:tcMar>
          </w:tcPr>
          <w:p>
            <w:r>
              <w:rPr>
                <w:b/>
                <w:bCs/>
                <w:color w:val="FFFFFF"/>
                <w:sz w:val="20"/>
                <w:szCs w:val="20"/>
              </w:rPr>
              <w:t xml:space="preserve">Quantity</w:t>
            </w:r>
          </w:p>
        </w:tc>
        <w:tc>
          <w:tcPr>
            <w:tcW w:type="dxa" w:w="1800"/>
            <w:shd w:fill="1F4E5F" w:val="clear"/>
            <w:tcMar>
              <w:top w:type="dxa" w:w="80"/>
              <w:left w:type="dxa" w:w="100"/>
              <w:bottom w:type="dxa" w:w="80"/>
              <w:right w:type="dxa" w:w="100"/>
            </w:tcMar>
          </w:tcPr>
          <w:p>
            <w:r>
              <w:rPr>
                <w:b/>
                <w:bCs/>
                <w:color w:val="FFFFFF"/>
                <w:sz w:val="20"/>
                <w:szCs w:val="20"/>
              </w:rPr>
              <w:t xml:space="preserve">TotalAmount (₹)</w:t>
            </w:r>
          </w:p>
        </w:tc>
        <w:tc>
          <w:tcPr>
            <w:tcW w:type="dxa" w:w="1400"/>
            <w:shd w:fill="1F4E5F" w:val="clear"/>
            <w:tcMar>
              <w:top w:type="dxa" w:w="80"/>
              <w:left w:type="dxa" w:w="100"/>
              <w:bottom w:type="dxa" w:w="80"/>
              <w:right w:type="dxa" w:w="100"/>
            </w:tcMar>
          </w:tcPr>
          <w:p>
            <w:r>
              <w:rPr>
                <w:b/>
                <w:bCs/>
                <w:color w:val="FFFFFF"/>
                <w:sz w:val="20"/>
                <w:szCs w:val="20"/>
              </w:rPr>
              <w:t xml:space="preserve">Rating</w:t>
            </w:r>
          </w:p>
        </w:tc>
      </w:tr>
      <w:tr>
        <w:tc>
          <w:tcPr>
            <w:tcW w:type="dxa" w:w="1360"/>
            <w:shd w:fill="FFFFFF" w:val="clear"/>
            <w:tcMar>
              <w:top w:type="dxa" w:w="60"/>
              <w:left w:type="dxa" w:w="100"/>
              <w:bottom w:type="dxa" w:w="60"/>
              <w:right w:type="dxa" w:w="100"/>
            </w:tcMar>
          </w:tcPr>
          <w:p>
            <w:r>
              <w:rPr>
                <w:sz w:val="20"/>
                <w:szCs w:val="20"/>
              </w:rPr>
              <w:t xml:space="preserve">Mean</w:t>
            </w:r>
          </w:p>
        </w:tc>
        <w:tc>
          <w:tcPr>
            <w:tcW w:type="dxa" w:w="1600"/>
            <w:shd w:fill="FFFFFF" w:val="clear"/>
            <w:tcMar>
              <w:top w:type="dxa" w:w="60"/>
              <w:left w:type="dxa" w:w="100"/>
              <w:bottom w:type="dxa" w:w="60"/>
              <w:right w:type="dxa" w:w="100"/>
            </w:tcMar>
          </w:tcPr>
          <w:p>
            <w:r>
              <w:rPr>
                <w:sz w:val="20"/>
                <w:szCs w:val="20"/>
              </w:rPr>
              <w:t xml:space="preserve">35.0</w:t>
            </w:r>
          </w:p>
        </w:tc>
        <w:tc>
          <w:tcPr>
            <w:tcW w:type="dxa" w:w="1600"/>
            <w:shd w:fill="FFFFFF" w:val="clear"/>
            <w:tcMar>
              <w:top w:type="dxa" w:w="60"/>
              <w:left w:type="dxa" w:w="100"/>
              <w:bottom w:type="dxa" w:w="60"/>
              <w:right w:type="dxa" w:w="100"/>
            </w:tcMar>
          </w:tcPr>
          <w:p>
            <w:r>
              <w:rPr>
                <w:sz w:val="20"/>
                <w:szCs w:val="20"/>
              </w:rPr>
              <w:t xml:space="preserve">3,145</w:t>
            </w:r>
          </w:p>
        </w:tc>
        <w:tc>
          <w:tcPr>
            <w:tcW w:type="dxa" w:w="1600"/>
            <w:shd w:fill="FFFFFF" w:val="clear"/>
            <w:tcMar>
              <w:top w:type="dxa" w:w="60"/>
              <w:left w:type="dxa" w:w="100"/>
              <w:bottom w:type="dxa" w:w="60"/>
              <w:right w:type="dxa" w:w="100"/>
            </w:tcMar>
          </w:tcPr>
          <w:p>
            <w:r>
              <w:rPr>
                <w:sz w:val="20"/>
                <w:szCs w:val="20"/>
              </w:rPr>
              <w:t xml:space="preserve">1.71</w:t>
            </w:r>
          </w:p>
        </w:tc>
        <w:tc>
          <w:tcPr>
            <w:tcW w:type="dxa" w:w="1800"/>
            <w:shd w:fill="FFFFFF" w:val="clear"/>
            <w:tcMar>
              <w:top w:type="dxa" w:w="60"/>
              <w:left w:type="dxa" w:w="100"/>
              <w:bottom w:type="dxa" w:w="60"/>
              <w:right w:type="dxa" w:w="100"/>
            </w:tcMar>
          </w:tcPr>
          <w:p>
            <w:r>
              <w:rPr>
                <w:sz w:val="20"/>
                <w:szCs w:val="20"/>
              </w:rPr>
              <w:t xml:space="preserve">5,595</w:t>
            </w:r>
          </w:p>
        </w:tc>
        <w:tc>
          <w:tcPr>
            <w:tcW w:type="dxa" w:w="1400"/>
            <w:shd w:fill="FFFFFF" w:val="clear"/>
            <w:tcMar>
              <w:top w:type="dxa" w:w="60"/>
              <w:left w:type="dxa" w:w="100"/>
              <w:bottom w:type="dxa" w:w="60"/>
              <w:right w:type="dxa" w:w="100"/>
            </w:tcMar>
          </w:tcPr>
          <w:p>
            <w:r>
              <w:rPr>
                <w:sz w:val="20"/>
                <w:szCs w:val="20"/>
              </w:rPr>
              <w:t xml:space="preserve">3.90</w:t>
            </w:r>
          </w:p>
        </w:tc>
      </w:tr>
      <w:tr>
        <w:tc>
          <w:tcPr>
            <w:tcW w:type="dxa" w:w="1360"/>
            <w:shd w:fill="EAF2F5" w:val="clear"/>
            <w:tcMar>
              <w:top w:type="dxa" w:w="60"/>
              <w:left w:type="dxa" w:w="100"/>
              <w:bottom w:type="dxa" w:w="60"/>
              <w:right w:type="dxa" w:w="100"/>
            </w:tcMar>
          </w:tcPr>
          <w:p>
            <w:r>
              <w:rPr>
                <w:sz w:val="20"/>
                <w:szCs w:val="20"/>
              </w:rPr>
              <w:t xml:space="preserve">Median</w:t>
            </w:r>
          </w:p>
        </w:tc>
        <w:tc>
          <w:tcPr>
            <w:tcW w:type="dxa" w:w="1600"/>
            <w:shd w:fill="EAF2F5" w:val="clear"/>
            <w:tcMar>
              <w:top w:type="dxa" w:w="60"/>
              <w:left w:type="dxa" w:w="100"/>
              <w:bottom w:type="dxa" w:w="60"/>
              <w:right w:type="dxa" w:w="100"/>
            </w:tcMar>
          </w:tcPr>
          <w:p>
            <w:r>
              <w:rPr>
                <w:sz w:val="20"/>
                <w:szCs w:val="20"/>
              </w:rPr>
              <w:t xml:space="preserve">35</w:t>
            </w:r>
          </w:p>
        </w:tc>
        <w:tc>
          <w:tcPr>
            <w:tcW w:type="dxa" w:w="1600"/>
            <w:shd w:fill="EAF2F5" w:val="clear"/>
            <w:tcMar>
              <w:top w:type="dxa" w:w="60"/>
              <w:left w:type="dxa" w:w="100"/>
              <w:bottom w:type="dxa" w:w="60"/>
              <w:right w:type="dxa" w:w="100"/>
            </w:tcMar>
          </w:tcPr>
          <w:p>
            <w:r>
              <w:rPr>
                <w:sz w:val="20"/>
                <w:szCs w:val="20"/>
              </w:rPr>
              <w:t xml:space="preserve">1,590</w:t>
            </w:r>
          </w:p>
        </w:tc>
        <w:tc>
          <w:tcPr>
            <w:tcW w:type="dxa" w:w="1600"/>
            <w:shd w:fill="EAF2F5" w:val="clear"/>
            <w:tcMar>
              <w:top w:type="dxa" w:w="60"/>
              <w:left w:type="dxa" w:w="100"/>
              <w:bottom w:type="dxa" w:w="60"/>
              <w:right w:type="dxa" w:w="100"/>
            </w:tcMar>
          </w:tcPr>
          <w:p>
            <w:r>
              <w:rPr>
                <w:sz w:val="20"/>
                <w:szCs w:val="20"/>
              </w:rPr>
              <w:t xml:space="preserve">1</w:t>
            </w:r>
          </w:p>
        </w:tc>
        <w:tc>
          <w:tcPr>
            <w:tcW w:type="dxa" w:w="1800"/>
            <w:shd w:fill="EAF2F5" w:val="clear"/>
            <w:tcMar>
              <w:top w:type="dxa" w:w="60"/>
              <w:left w:type="dxa" w:w="100"/>
              <w:bottom w:type="dxa" w:w="60"/>
              <w:right w:type="dxa" w:w="100"/>
            </w:tcMar>
          </w:tcPr>
          <w:p>
            <w:r>
              <w:rPr>
                <w:sz w:val="20"/>
                <w:szCs w:val="20"/>
              </w:rPr>
              <w:t xml:space="preserve">1,933</w:t>
            </w:r>
          </w:p>
        </w:tc>
        <w:tc>
          <w:tcPr>
            <w:tcW w:type="dxa" w:w="1400"/>
            <w:shd w:fill="EAF2F5" w:val="clear"/>
            <w:tcMar>
              <w:top w:type="dxa" w:w="60"/>
              <w:left w:type="dxa" w:w="100"/>
              <w:bottom w:type="dxa" w:w="60"/>
              <w:right w:type="dxa" w:w="100"/>
            </w:tcMar>
          </w:tcPr>
          <w:p>
            <w:r>
              <w:rPr>
                <w:sz w:val="20"/>
                <w:szCs w:val="20"/>
              </w:rPr>
              <w:t xml:space="preserve">4.0</w:t>
            </w:r>
          </w:p>
        </w:tc>
      </w:tr>
      <w:tr>
        <w:tc>
          <w:tcPr>
            <w:tcW w:type="dxa" w:w="1360"/>
            <w:shd w:fill="FFFFFF" w:val="clear"/>
            <w:tcMar>
              <w:top w:type="dxa" w:w="60"/>
              <w:left w:type="dxa" w:w="100"/>
              <w:bottom w:type="dxa" w:w="60"/>
              <w:right w:type="dxa" w:w="100"/>
            </w:tcMar>
          </w:tcPr>
          <w:p>
            <w:r>
              <w:rPr>
                <w:sz w:val="20"/>
                <w:szCs w:val="20"/>
              </w:rPr>
              <w:t xml:space="preserve">Std. Dev.</w:t>
            </w:r>
          </w:p>
        </w:tc>
        <w:tc>
          <w:tcPr>
            <w:tcW w:type="dxa" w:w="1600"/>
            <w:shd w:fill="FFFFFF" w:val="clear"/>
            <w:tcMar>
              <w:top w:type="dxa" w:w="60"/>
              <w:left w:type="dxa" w:w="100"/>
              <w:bottom w:type="dxa" w:w="60"/>
              <w:right w:type="dxa" w:w="100"/>
            </w:tcMar>
          </w:tcPr>
          <w:p>
            <w:r>
              <w:rPr>
                <w:sz w:val="20"/>
                <w:szCs w:val="20"/>
              </w:rPr>
              <w:t xml:space="preserve">11.3</w:t>
            </w:r>
          </w:p>
        </w:tc>
        <w:tc>
          <w:tcPr>
            <w:tcW w:type="dxa" w:w="1600"/>
            <w:shd w:fill="FFFFFF" w:val="clear"/>
            <w:tcMar>
              <w:top w:type="dxa" w:w="60"/>
              <w:left w:type="dxa" w:w="100"/>
              <w:bottom w:type="dxa" w:w="60"/>
              <w:right w:type="dxa" w:w="100"/>
            </w:tcMar>
          </w:tcPr>
          <w:p>
            <w:r>
              <w:rPr>
                <w:sz w:val="20"/>
                <w:szCs w:val="20"/>
              </w:rPr>
              <w:t xml:space="preserve">10,150</w:t>
            </w:r>
          </w:p>
        </w:tc>
        <w:tc>
          <w:tcPr>
            <w:tcW w:type="dxa" w:w="1600"/>
            <w:shd w:fill="FFFFFF" w:val="clear"/>
            <w:tcMar>
              <w:top w:type="dxa" w:w="60"/>
              <w:left w:type="dxa" w:w="100"/>
              <w:bottom w:type="dxa" w:w="60"/>
              <w:right w:type="dxa" w:w="100"/>
            </w:tcMar>
          </w:tcPr>
          <w:p>
            <w:r>
              <w:rPr>
                <w:sz w:val="20"/>
                <w:szCs w:val="20"/>
              </w:rPr>
              <w:t xml:space="preserve">4.0</w:t>
            </w:r>
          </w:p>
        </w:tc>
        <w:tc>
          <w:tcPr>
            <w:tcW w:type="dxa" w:w="1800"/>
            <w:shd w:fill="FFFFFF" w:val="clear"/>
            <w:tcMar>
              <w:top w:type="dxa" w:w="60"/>
              <w:left w:type="dxa" w:w="100"/>
              <w:bottom w:type="dxa" w:w="60"/>
              <w:right w:type="dxa" w:w="100"/>
            </w:tcMar>
          </w:tcPr>
          <w:p>
            <w:r>
              <w:rPr>
                <w:sz w:val="20"/>
                <w:szCs w:val="20"/>
              </w:rPr>
              <w:t xml:space="preserve">18,850</w:t>
            </w:r>
          </w:p>
        </w:tc>
        <w:tc>
          <w:tcPr>
            <w:tcW w:type="dxa" w:w="1400"/>
            <w:shd w:fill="FFFFFF" w:val="clear"/>
            <w:tcMar>
              <w:top w:type="dxa" w:w="60"/>
              <w:left w:type="dxa" w:w="100"/>
              <w:bottom w:type="dxa" w:w="60"/>
              <w:right w:type="dxa" w:w="100"/>
            </w:tcMar>
          </w:tcPr>
          <w:p>
            <w:r>
              <w:rPr>
                <w:sz w:val="20"/>
                <w:szCs w:val="20"/>
              </w:rPr>
              <w:t xml:space="preserve">1.11</w:t>
            </w:r>
          </w:p>
        </w:tc>
      </w:tr>
      <w:tr>
        <w:tc>
          <w:tcPr>
            <w:tcW w:type="dxa" w:w="1360"/>
            <w:shd w:fill="EAF2F5" w:val="clear"/>
            <w:tcMar>
              <w:top w:type="dxa" w:w="60"/>
              <w:left w:type="dxa" w:w="100"/>
              <w:bottom w:type="dxa" w:w="60"/>
              <w:right w:type="dxa" w:w="100"/>
            </w:tcMar>
          </w:tcPr>
          <w:p>
            <w:r>
              <w:rPr>
                <w:sz w:val="20"/>
                <w:szCs w:val="20"/>
              </w:rPr>
              <w:t xml:space="preserve">Min</w:t>
            </w:r>
          </w:p>
        </w:tc>
        <w:tc>
          <w:tcPr>
            <w:tcW w:type="dxa" w:w="1600"/>
            <w:shd w:fill="EAF2F5" w:val="clear"/>
            <w:tcMar>
              <w:top w:type="dxa" w:w="60"/>
              <w:left w:type="dxa" w:w="100"/>
              <w:bottom w:type="dxa" w:w="60"/>
              <w:right w:type="dxa" w:w="100"/>
            </w:tcMar>
          </w:tcPr>
          <w:p>
            <w:r>
              <w:rPr>
                <w:sz w:val="20"/>
                <w:szCs w:val="20"/>
              </w:rPr>
              <w:t xml:space="preserve">16</w:t>
            </w:r>
          </w:p>
        </w:tc>
        <w:tc>
          <w:tcPr>
            <w:tcW w:type="dxa" w:w="1600"/>
            <w:shd w:fill="EAF2F5" w:val="clear"/>
            <w:tcMar>
              <w:top w:type="dxa" w:w="60"/>
              <w:left w:type="dxa" w:w="100"/>
              <w:bottom w:type="dxa" w:w="60"/>
              <w:right w:type="dxa" w:w="100"/>
            </w:tcMar>
          </w:tcPr>
          <w:p>
            <w:r>
              <w:rPr>
                <w:sz w:val="20"/>
                <w:szCs w:val="20"/>
              </w:rPr>
              <w:t xml:space="preserve">50.5</w:t>
            </w:r>
          </w:p>
        </w:tc>
        <w:tc>
          <w:tcPr>
            <w:tcW w:type="dxa" w:w="1600"/>
            <w:shd w:fill="EAF2F5" w:val="clear"/>
            <w:tcMar>
              <w:top w:type="dxa" w:w="60"/>
              <w:left w:type="dxa" w:w="100"/>
              <w:bottom w:type="dxa" w:w="60"/>
              <w:right w:type="dxa" w:w="100"/>
            </w:tcMar>
          </w:tcPr>
          <w:p>
            <w:r>
              <w:rPr>
                <w:sz w:val="20"/>
                <w:szCs w:val="20"/>
              </w:rPr>
              <w:t xml:space="preserve">1</w:t>
            </w:r>
          </w:p>
        </w:tc>
        <w:tc>
          <w:tcPr>
            <w:tcW w:type="dxa" w:w="1800"/>
            <w:shd w:fill="EAF2F5" w:val="clear"/>
            <w:tcMar>
              <w:top w:type="dxa" w:w="60"/>
              <w:left w:type="dxa" w:w="100"/>
              <w:bottom w:type="dxa" w:w="60"/>
              <w:right w:type="dxa" w:w="100"/>
            </w:tcMar>
          </w:tcPr>
          <w:p>
            <w:r>
              <w:rPr>
                <w:sz w:val="20"/>
                <w:szCs w:val="20"/>
              </w:rPr>
              <w:t xml:space="preserve">43.1</w:t>
            </w:r>
          </w:p>
        </w:tc>
        <w:tc>
          <w:tcPr>
            <w:tcW w:type="dxa" w:w="1400"/>
            <w:shd w:fill="EAF2F5" w:val="clear"/>
            <w:tcMar>
              <w:top w:type="dxa" w:w="60"/>
              <w:left w:type="dxa" w:w="100"/>
              <w:bottom w:type="dxa" w:w="60"/>
              <w:right w:type="dxa" w:w="100"/>
            </w:tcMar>
          </w:tcPr>
          <w:p>
            <w:r>
              <w:rPr>
                <w:sz w:val="20"/>
                <w:szCs w:val="20"/>
              </w:rPr>
              <w:t xml:space="preserve">1.0</w:t>
            </w:r>
          </w:p>
        </w:tc>
      </w:tr>
      <w:tr>
        <w:tc>
          <w:tcPr>
            <w:tcW w:type="dxa" w:w="1360"/>
            <w:shd w:fill="FFFFFF" w:val="clear"/>
            <w:tcMar>
              <w:top w:type="dxa" w:w="60"/>
              <w:left w:type="dxa" w:w="100"/>
              <w:bottom w:type="dxa" w:w="60"/>
              <w:right w:type="dxa" w:w="100"/>
            </w:tcMar>
          </w:tcPr>
          <w:p>
            <w:r>
              <w:rPr>
                <w:sz w:val="20"/>
                <w:szCs w:val="20"/>
              </w:rPr>
              <w:t xml:space="preserve">Max</w:t>
            </w:r>
          </w:p>
        </w:tc>
        <w:tc>
          <w:tcPr>
            <w:tcW w:type="dxa" w:w="1600"/>
            <w:shd w:fill="FFFFFF" w:val="clear"/>
            <w:tcMar>
              <w:top w:type="dxa" w:w="60"/>
              <w:left w:type="dxa" w:w="100"/>
              <w:bottom w:type="dxa" w:w="60"/>
              <w:right w:type="dxa" w:w="100"/>
            </w:tcMar>
          </w:tcPr>
          <w:p>
            <w:r>
              <w:rPr>
                <w:sz w:val="20"/>
                <w:szCs w:val="20"/>
              </w:rPr>
              <w:t xml:space="preserve">73</w:t>
            </w:r>
          </w:p>
        </w:tc>
        <w:tc>
          <w:tcPr>
            <w:tcW w:type="dxa" w:w="1600"/>
            <w:shd w:fill="FFFFFF" w:val="clear"/>
            <w:tcMar>
              <w:top w:type="dxa" w:w="60"/>
              <w:left w:type="dxa" w:w="100"/>
              <w:bottom w:type="dxa" w:w="60"/>
              <w:right w:type="dxa" w:w="100"/>
            </w:tcMar>
          </w:tcPr>
          <w:p>
            <w:r>
              <w:rPr>
                <w:sz w:val="20"/>
                <w:szCs w:val="20"/>
              </w:rPr>
              <w:t xml:space="preserve">419,741</w:t>
            </w:r>
          </w:p>
        </w:tc>
        <w:tc>
          <w:tcPr>
            <w:tcW w:type="dxa" w:w="1600"/>
            <w:shd w:fill="FFFFFF" w:val="clear"/>
            <w:tcMar>
              <w:top w:type="dxa" w:w="60"/>
              <w:left w:type="dxa" w:w="100"/>
              <w:bottom w:type="dxa" w:w="60"/>
              <w:right w:type="dxa" w:w="100"/>
            </w:tcMar>
          </w:tcPr>
          <w:p>
            <w:r>
              <w:rPr>
                <w:sz w:val="20"/>
                <w:szCs w:val="20"/>
              </w:rPr>
              <w:t xml:space="preserve">98</w:t>
            </w:r>
          </w:p>
        </w:tc>
        <w:tc>
          <w:tcPr>
            <w:tcW w:type="dxa" w:w="1800"/>
            <w:shd w:fill="FFFFFF" w:val="clear"/>
            <w:tcMar>
              <w:top w:type="dxa" w:w="60"/>
              <w:left w:type="dxa" w:w="100"/>
              <w:bottom w:type="dxa" w:w="60"/>
              <w:right w:type="dxa" w:w="100"/>
            </w:tcMar>
          </w:tcPr>
          <w:p>
            <w:r>
              <w:rPr>
                <w:sz w:val="20"/>
                <w:szCs w:val="20"/>
              </w:rPr>
              <w:t xml:space="preserve">~750,000</w:t>
            </w:r>
          </w:p>
        </w:tc>
        <w:tc>
          <w:tcPr>
            <w:tcW w:type="dxa" w:w="1400"/>
            <w:shd w:fill="FFFFFF" w:val="clear"/>
            <w:tcMar>
              <w:top w:type="dxa" w:w="60"/>
              <w:left w:type="dxa" w:w="100"/>
              <w:bottom w:type="dxa" w:w="60"/>
              <w:right w:type="dxa" w:w="100"/>
            </w:tcMar>
          </w:tcPr>
          <w:p>
            <w:r>
              <w:rPr>
                <w:sz w:val="20"/>
                <w:szCs w:val="20"/>
              </w:rPr>
              <w:t xml:space="preserve">5.0</w:t>
            </w:r>
          </w:p>
        </w:tc>
      </w:tr>
    </w:tbl>
    <w:p>
      <w:pPr>
        <w:spacing w:after="160" w:line="300"/>
      </w:pPr>
      <w:r>
        <w:t xml:space="preserve">Price, Quantity, and TotalAmount are all strongly right-skewed (skewness of 26.7, 19.1, and 12.6 respectively) with very high kurtosis, confirming the presence of a small number of extreme high-value transactions pulling the mean well above the median. ShippingCost and DeliveryDays, by contrast, are close to symmetric (skewness near 0), consistent with genuinely normal operational variation.</w:t>
      </w:r>
    </w:p>
    <w:p>
      <w:pPr>
        <w:spacing w:after="160" w:line="300"/>
      </w:pPr>
      <w:r>
        <w:t xml:space="preserve">Categorical composition: Gender is fairly balanced between Female (~49%) and Male (~47%), with a small Other category (~4%). Orders are evenly spread across the six product categories (roughly 320-350 orders each) and across the ten cities, indicating no single segment dominates order volume.</w:t>
      </w:r>
    </w:p>
    <w:p>
      <w:pPr>
        <w:pStyle w:val="Heading2"/>
        <w:spacing w:after="140" w:before="260"/>
      </w:pPr>
      <w:r>
        <w:rPr>
          <w:b/>
          <w:bCs/>
          <w:color w:val="2C6E91"/>
        </w:rPr>
        <w:t xml:space="preserve">4.2 Correlation Analysis</w:t>
      </w:r>
    </w:p>
    <w:p>
      <w:pPr>
        <w:spacing w:after="160" w:line="300"/>
      </w:pPr>
      <w:r>
        <w:t xml:space="preserve">A Pearson correlation matrix was computed across the key numeric variables (see the heatmap in Task 5, Figure 3). The main findings are:</w:t>
      </w:r>
    </w:p>
    <w:p>
      <w:pPr>
        <w:pStyle w:val="ListParagraph"/>
        <w:numPr>
          <w:ilvl w:val="0"/>
          <w:numId w:val="2"/>
        </w:numPr>
        <w:spacing w:after="80"/>
      </w:pPr>
      <w:r>
        <w:t xml:space="preserve">Price and TotalAmount are strongly positively correlated (r = 0.79) — unsurprising, since price is a direct component of total order value.</w:t>
      </w:r>
    </w:p>
    <w:p>
      <w:pPr>
        <w:pStyle w:val="ListParagraph"/>
        <w:numPr>
          <w:ilvl w:val="0"/>
          <w:numId w:val="2"/>
        </w:numPr>
        <w:spacing w:after="80"/>
      </w:pPr>
      <w:r>
        <w:t xml:space="preserve">Quantity and TotalAmount show a moderate positive correlation (r = 0.40), showing that both price and quantity independently drive revenue.</w:t>
      </w:r>
    </w:p>
    <w:p>
      <w:pPr>
        <w:pStyle w:val="ListParagraph"/>
        <w:numPr>
          <w:ilvl w:val="0"/>
          <w:numId w:val="2"/>
        </w:numPr>
        <w:spacing w:after="80"/>
      </w:pPr>
      <w:r>
        <w:t xml:space="preserve">Age, DiscountPercent, ShippingCost, DeliveryDays, and Rating all show negligible correlation (|r| &lt; 0.05) with each other and with revenue, indicating these operational and demographic factors behave largely independently of order value in this dataset.</w:t>
      </w:r>
    </w:p>
    <w:p>
      <w:pPr>
        <w:pStyle w:val="ListParagraph"/>
        <w:numPr>
          <w:ilvl w:val="0"/>
          <w:numId w:val="2"/>
        </w:numPr>
        <w:spacing w:after="80"/>
      </w:pPr>
      <w:r>
        <w:t xml:space="preserve">Discount percentage shows a very weak negative correlation with TotalAmount (r = -0.04), suggesting discounts alone are not a strong lever of order value in this data.</w:t>
      </w:r>
    </w:p>
    <w:p>
      <w:pPr>
        <w:pStyle w:val="Heading2"/>
        <w:spacing w:after="140" w:before="260"/>
      </w:pPr>
      <w:r>
        <w:rPr>
          <w:b/>
          <w:bCs/>
          <w:color w:val="2C6E91"/>
        </w:rPr>
        <w:t xml:space="preserve">4.3 Important Patterns and Trends</w:t>
      </w:r>
    </w:p>
    <w:p>
      <w:pPr>
        <w:pStyle w:val="ListParagraph"/>
        <w:numPr>
          <w:ilvl w:val="0"/>
          <w:numId w:val="2"/>
        </w:numPr>
        <w:spacing w:after="80"/>
      </w:pPr>
      <w:r>
        <w:t xml:space="preserve">Revenue by category: Electronics dominates revenue (≈₹69.8 lakh total, average order value ≈₹21,204), despite having a similar order count to other categories — driven by high unit prices rather than volume.</w:t>
      </w:r>
    </w:p>
    <w:p>
      <w:pPr>
        <w:pStyle w:val="ListParagraph"/>
        <w:numPr>
          <w:ilvl w:val="0"/>
          <w:numId w:val="2"/>
        </w:numPr>
        <w:spacing w:after="80"/>
      </w:pPr>
      <w:r>
        <w:t xml:space="preserve">Monthly trend: Revenue fluctuates between ≈₹2.95 lakh and ₹8.72 lakh per month, with a notable revenue peak in mid-2024 (June-July 2024), suggesting a seasonal or promotional spike worth further business investigation.</w:t>
      </w:r>
    </w:p>
    <w:p>
      <w:pPr>
        <w:pStyle w:val="ListParagraph"/>
        <w:numPr>
          <w:ilvl w:val="0"/>
          <w:numId w:val="2"/>
        </w:numPr>
        <w:spacing w:after="80"/>
      </w:pPr>
      <w:r>
        <w:t xml:space="preserve">Geographic spread: Mumbai, Hyderabad, and Delhi are the top three revenue-generating cities, though the spread across all ten cities is fairly even (no single city exceeds ~14% of total revenue), indicating a geographically diversified customer base.</w:t>
      </w:r>
    </w:p>
    <w:p>
      <w:pPr>
        <w:pStyle w:val="ListParagraph"/>
        <w:numPr>
          <w:ilvl w:val="0"/>
          <w:numId w:val="2"/>
        </w:numPr>
        <w:spacing w:after="80"/>
      </w:pPr>
      <w:r>
        <w:t xml:space="preserve">Age and spend: Customers aged 36-55 show the highest average order value (≈₹6,550), while the youngest group (≤25) and oldest group (56+) spend somewhat less on average.</w:t>
      </w:r>
    </w:p>
    <w:p>
      <w:pPr>
        <w:pStyle w:val="ListParagraph"/>
        <w:numPr>
          <w:ilvl w:val="0"/>
          <w:numId w:val="2"/>
        </w:numPr>
        <w:spacing w:after="80"/>
      </w:pPr>
      <w:r>
        <w:t xml:space="preserve">Gender and spend: The 'Other' gender group has the highest average order value (≈₹7,361), followed by Female (≈₹5,984) and Male (≈₹4,978), though this group is a small sample (83 orders).</w:t>
      </w:r>
    </w:p>
    <w:p>
      <w:pPr>
        <w:pStyle w:val="ListParagraph"/>
        <w:numPr>
          <w:ilvl w:val="0"/>
          <w:numId w:val="2"/>
        </w:numPr>
        <w:spacing w:after="80"/>
      </w:pPr>
      <w:r>
        <w:t xml:space="preserve">Payment methods: Usage is well distributed across all five payment modes (Net Banking leads at 22.3%, others between 18.7% and 19.9%), indicating no single payment channel dominates.</w:t>
      </w:r>
    </w:p>
    <w:p>
      <w:pPr>
        <w:pStyle w:val="ListParagraph"/>
        <w:numPr>
          <w:ilvl w:val="0"/>
          <w:numId w:val="2"/>
        </w:numPr>
        <w:spacing w:after="80"/>
      </w:pPr>
      <w:r>
        <w:t xml:space="preserve">Ratings by category: Average ratings are consistently high across all categories (3.84 to 3.95 out of 5), with Home &amp; Kitchen products rated slightly higher and Sports products slightly lower.</w:t>
      </w:r>
    </w:p>
    <w:p>
      <w:pPr>
        <w:pStyle w:val="Heading2"/>
        <w:spacing w:after="140" w:before="260"/>
      </w:pPr>
      <w:r>
        <w:rPr>
          <w:b/>
          <w:bCs/>
          <w:color w:val="2C6E91"/>
        </w:rPr>
        <w:t xml:space="preserve">4.4 Outlier Identification</w:t>
      </w:r>
    </w:p>
    <w:p>
      <w:pPr>
        <w:spacing w:after="160" w:line="300"/>
      </w:pPr>
      <w:r>
        <w:t xml:space="preserve">Outliers were identified using the Interquartile Range (IQR) method (values beyond Q1 - 1.5×IQR or Q3 + 1.5×IQR).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80"/>
              <w:left w:type="dxa" w:w="100"/>
              <w:bottom w:type="dxa" w:w="80"/>
              <w:right w:type="dxa" w:w="100"/>
            </w:tcMar>
          </w:tcPr>
          <w:p>
            <w:r>
              <w:rPr>
                <w:b/>
                <w:bCs/>
                <w:color w:val="FFFFFF"/>
                <w:sz w:val="20"/>
                <w:szCs w:val="20"/>
              </w:rPr>
              <w:t xml:space="preserve">Variable</w:t>
            </w:r>
          </w:p>
        </w:tc>
        <w:tc>
          <w:tcPr>
            <w:tcW w:type="dxa" w:w="2340"/>
            <w:shd w:fill="1F4E5F" w:val="clear"/>
            <w:tcMar>
              <w:top w:type="dxa" w:w="80"/>
              <w:left w:type="dxa" w:w="100"/>
              <w:bottom w:type="dxa" w:w="80"/>
              <w:right w:type="dxa" w:w="100"/>
            </w:tcMar>
          </w:tcPr>
          <w:p>
            <w:r>
              <w:rPr>
                <w:b/>
                <w:bCs/>
                <w:color w:val="FFFFFF"/>
                <w:sz w:val="20"/>
                <w:szCs w:val="20"/>
              </w:rPr>
              <w:t xml:space="preserve">IQR Bounds</w:t>
            </w:r>
          </w:p>
        </w:tc>
        <w:tc>
          <w:tcPr>
            <w:tcW w:type="dxa" w:w="2340"/>
            <w:shd w:fill="1F4E5F" w:val="clear"/>
            <w:tcMar>
              <w:top w:type="dxa" w:w="80"/>
              <w:left w:type="dxa" w:w="100"/>
              <w:bottom w:type="dxa" w:w="80"/>
              <w:right w:type="dxa" w:w="100"/>
            </w:tcMar>
          </w:tcPr>
          <w:p>
            <w:r>
              <w:rPr>
                <w:b/>
                <w:bCs/>
                <w:color w:val="FFFFFF"/>
                <w:sz w:val="20"/>
                <w:szCs w:val="20"/>
              </w:rPr>
              <w:t xml:space="preserve">Outlier Count</w:t>
            </w:r>
          </w:p>
        </w:tc>
        <w:tc>
          <w:tcPr>
            <w:tcW w:type="dxa" w:w="2340"/>
            <w:shd w:fill="1F4E5F" w:val="clear"/>
            <w:tcMar>
              <w:top w:type="dxa" w:w="80"/>
              <w:left w:type="dxa" w:w="100"/>
              <w:bottom w:type="dxa" w:w="80"/>
              <w:right w:type="dxa" w:w="100"/>
            </w:tcMar>
          </w:tcPr>
          <w:p>
            <w:r>
              <w:rPr>
                <w:b/>
                <w:bCs/>
                <w:color w:val="FFFFFF"/>
                <w:sz w:val="20"/>
                <w:szCs w:val="20"/>
              </w:rPr>
              <w:t xml:space="preserve">% of Data</w:t>
            </w:r>
          </w:p>
        </w:tc>
      </w:tr>
      <w:tr>
        <w:tc>
          <w:tcPr>
            <w:tcW w:type="dxa" w:w="2340"/>
            <w:shd w:fill="FFFFFF" w:val="clear"/>
            <w:tcMar>
              <w:top w:type="dxa" w:w="60"/>
              <w:left w:type="dxa" w:w="100"/>
              <w:bottom w:type="dxa" w:w="60"/>
              <w:right w:type="dxa" w:w="100"/>
            </w:tcMar>
          </w:tcPr>
          <w:p>
            <w:r>
              <w:rPr>
                <w:sz w:val="20"/>
                <w:szCs w:val="20"/>
              </w:rPr>
              <w:t xml:space="preserve">Price</w:t>
            </w:r>
          </w:p>
        </w:tc>
        <w:tc>
          <w:tcPr>
            <w:tcW w:type="dxa" w:w="2340"/>
            <w:shd w:fill="FFFFFF" w:val="clear"/>
            <w:tcMar>
              <w:top w:type="dxa" w:w="60"/>
              <w:left w:type="dxa" w:w="100"/>
              <w:bottom w:type="dxa" w:w="60"/>
              <w:right w:type="dxa" w:w="100"/>
            </w:tcMar>
          </w:tcPr>
          <w:p>
            <w:r>
              <w:rPr>
                <w:sz w:val="20"/>
                <w:szCs w:val="20"/>
              </w:rPr>
              <w:t xml:space="preserve">₹-2,851 to ₹6,708</w:t>
            </w:r>
          </w:p>
        </w:tc>
        <w:tc>
          <w:tcPr>
            <w:tcW w:type="dxa" w:w="2340"/>
            <w:shd w:fill="FFFFFF" w:val="clear"/>
            <w:tcMar>
              <w:top w:type="dxa" w:w="60"/>
              <w:left w:type="dxa" w:w="100"/>
              <w:bottom w:type="dxa" w:w="60"/>
              <w:right w:type="dxa" w:w="100"/>
            </w:tcMar>
          </w:tcPr>
          <w:p>
            <w:r>
              <w:rPr>
                <w:sz w:val="20"/>
                <w:szCs w:val="20"/>
              </w:rPr>
              <w:t xml:space="preserve">312</w:t>
            </w:r>
          </w:p>
        </w:tc>
        <w:tc>
          <w:tcPr>
            <w:tcW w:type="dxa" w:w="2340"/>
            <w:shd w:fill="FFFFFF" w:val="clear"/>
            <w:tcMar>
              <w:top w:type="dxa" w:w="60"/>
              <w:left w:type="dxa" w:w="100"/>
              <w:bottom w:type="dxa" w:w="60"/>
              <w:right w:type="dxa" w:w="100"/>
            </w:tcMar>
          </w:tcPr>
          <w:p>
            <w:r>
              <w:rPr>
                <w:sz w:val="20"/>
                <w:szCs w:val="20"/>
              </w:rPr>
              <w:t xml:space="preserve">15.6%</w:t>
            </w:r>
          </w:p>
        </w:tc>
      </w:tr>
      <w:tr>
        <w:tc>
          <w:tcPr>
            <w:tcW w:type="dxa" w:w="2340"/>
            <w:shd w:fill="EAF2F5" w:val="clear"/>
            <w:tcMar>
              <w:top w:type="dxa" w:w="60"/>
              <w:left w:type="dxa" w:w="100"/>
              <w:bottom w:type="dxa" w:w="60"/>
              <w:right w:type="dxa" w:w="100"/>
            </w:tcMar>
          </w:tcPr>
          <w:p>
            <w:r>
              <w:rPr>
                <w:sz w:val="20"/>
                <w:szCs w:val="20"/>
              </w:rPr>
              <w:t xml:space="preserve">TotalAmount</w:t>
            </w:r>
          </w:p>
        </w:tc>
        <w:tc>
          <w:tcPr>
            <w:tcW w:type="dxa" w:w="2340"/>
            <w:shd w:fill="EAF2F5" w:val="clear"/>
            <w:tcMar>
              <w:top w:type="dxa" w:w="60"/>
              <w:left w:type="dxa" w:w="100"/>
              <w:bottom w:type="dxa" w:w="60"/>
              <w:right w:type="dxa" w:w="100"/>
            </w:tcMar>
          </w:tcPr>
          <w:p>
            <w:r>
              <w:rPr>
                <w:sz w:val="20"/>
                <w:szCs w:val="20"/>
              </w:rPr>
              <w:t xml:space="preserve">₹-4,471 to ₹9,605</w:t>
            </w:r>
          </w:p>
        </w:tc>
        <w:tc>
          <w:tcPr>
            <w:tcW w:type="dxa" w:w="2340"/>
            <w:shd w:fill="EAF2F5" w:val="clear"/>
            <w:tcMar>
              <w:top w:type="dxa" w:w="60"/>
              <w:left w:type="dxa" w:w="100"/>
              <w:bottom w:type="dxa" w:w="60"/>
              <w:right w:type="dxa" w:w="100"/>
            </w:tcMar>
          </w:tcPr>
          <w:p>
            <w:r>
              <w:rPr>
                <w:sz w:val="20"/>
                <w:szCs w:val="20"/>
              </w:rPr>
              <w:t xml:space="preserve">309</w:t>
            </w:r>
          </w:p>
        </w:tc>
        <w:tc>
          <w:tcPr>
            <w:tcW w:type="dxa" w:w="2340"/>
            <w:shd w:fill="EAF2F5" w:val="clear"/>
            <w:tcMar>
              <w:top w:type="dxa" w:w="60"/>
              <w:left w:type="dxa" w:w="100"/>
              <w:bottom w:type="dxa" w:w="60"/>
              <w:right w:type="dxa" w:w="100"/>
            </w:tcMar>
          </w:tcPr>
          <w:p>
            <w:r>
              <w:rPr>
                <w:sz w:val="20"/>
                <w:szCs w:val="20"/>
              </w:rPr>
              <w:t xml:space="preserve">15.5%</w:t>
            </w:r>
          </w:p>
        </w:tc>
      </w:tr>
      <w:tr>
        <w:tc>
          <w:tcPr>
            <w:tcW w:type="dxa" w:w="2340"/>
            <w:shd w:fill="FFFFFF" w:val="clear"/>
            <w:tcMar>
              <w:top w:type="dxa" w:w="60"/>
              <w:left w:type="dxa" w:w="100"/>
              <w:bottom w:type="dxa" w:w="60"/>
              <w:right w:type="dxa" w:w="100"/>
            </w:tcMar>
          </w:tcPr>
          <w:p>
            <w:r>
              <w:rPr>
                <w:sz w:val="20"/>
                <w:szCs w:val="20"/>
              </w:rPr>
              <w:t xml:space="preserve">Quantity</w:t>
            </w:r>
          </w:p>
        </w:tc>
        <w:tc>
          <w:tcPr>
            <w:tcW w:type="dxa" w:w="2340"/>
            <w:shd w:fill="FFFFFF" w:val="clear"/>
            <w:tcMar>
              <w:top w:type="dxa" w:w="60"/>
              <w:left w:type="dxa" w:w="100"/>
              <w:bottom w:type="dxa" w:w="60"/>
              <w:right w:type="dxa" w:w="100"/>
            </w:tcMar>
          </w:tcPr>
          <w:p>
            <w:r>
              <w:rPr>
                <w:sz w:val="20"/>
                <w:szCs w:val="20"/>
              </w:rPr>
              <w:t xml:space="preserve">-0.5 to 3.5</w:t>
            </w:r>
          </w:p>
        </w:tc>
        <w:tc>
          <w:tcPr>
            <w:tcW w:type="dxa" w:w="2340"/>
            <w:shd w:fill="FFFFFF" w:val="clear"/>
            <w:tcMar>
              <w:top w:type="dxa" w:w="60"/>
              <w:left w:type="dxa" w:w="100"/>
              <w:bottom w:type="dxa" w:w="60"/>
              <w:right w:type="dxa" w:w="100"/>
            </w:tcMar>
          </w:tcPr>
          <w:p>
            <w:r>
              <w:rPr>
                <w:sz w:val="20"/>
                <w:szCs w:val="20"/>
              </w:rPr>
              <w:t xml:space="preserve">129</w:t>
            </w:r>
          </w:p>
        </w:tc>
        <w:tc>
          <w:tcPr>
            <w:tcW w:type="dxa" w:w="2340"/>
            <w:shd w:fill="FFFFFF" w:val="clear"/>
            <w:tcMar>
              <w:top w:type="dxa" w:w="60"/>
              <w:left w:type="dxa" w:w="100"/>
              <w:bottom w:type="dxa" w:w="60"/>
              <w:right w:type="dxa" w:w="100"/>
            </w:tcMar>
          </w:tcPr>
          <w:p>
            <w:r>
              <w:rPr>
                <w:sz w:val="20"/>
                <w:szCs w:val="20"/>
              </w:rPr>
              <w:t xml:space="preserve">6.5%</w:t>
            </w:r>
          </w:p>
        </w:tc>
      </w:tr>
      <w:tr>
        <w:tc>
          <w:tcPr>
            <w:tcW w:type="dxa" w:w="2340"/>
            <w:shd w:fill="EAF2F5" w:val="clear"/>
            <w:tcMar>
              <w:top w:type="dxa" w:w="60"/>
              <w:left w:type="dxa" w:w="100"/>
              <w:bottom w:type="dxa" w:w="60"/>
              <w:right w:type="dxa" w:w="100"/>
            </w:tcMar>
          </w:tcPr>
          <w:p>
            <w:r>
              <w:rPr>
                <w:sz w:val="20"/>
                <w:szCs w:val="20"/>
              </w:rPr>
              <w:t xml:space="preserve">ShippingCost</w:t>
            </w:r>
          </w:p>
        </w:tc>
        <w:tc>
          <w:tcPr>
            <w:tcW w:type="dxa" w:w="2340"/>
            <w:shd w:fill="EAF2F5" w:val="clear"/>
            <w:tcMar>
              <w:top w:type="dxa" w:w="60"/>
              <w:left w:type="dxa" w:w="100"/>
              <w:bottom w:type="dxa" w:w="60"/>
              <w:right w:type="dxa" w:w="100"/>
            </w:tcMar>
          </w:tcPr>
          <w:p>
            <w:r>
              <w:rPr>
                <w:sz w:val="20"/>
                <w:szCs w:val="20"/>
              </w:rPr>
              <w:t xml:space="preserve">₹-28.6 to ₹187.2</w:t>
            </w:r>
          </w:p>
        </w:tc>
        <w:tc>
          <w:tcPr>
            <w:tcW w:type="dxa" w:w="2340"/>
            <w:shd w:fill="EAF2F5" w:val="clear"/>
            <w:tcMar>
              <w:top w:type="dxa" w:w="60"/>
              <w:left w:type="dxa" w:w="100"/>
              <w:bottom w:type="dxa" w:w="60"/>
              <w:right w:type="dxa" w:w="100"/>
            </w:tcMar>
          </w:tcPr>
          <w:p>
            <w:r>
              <w:rPr>
                <w:sz w:val="20"/>
                <w:szCs w:val="20"/>
              </w:rPr>
              <w:t xml:space="preserve">7</w:t>
            </w:r>
          </w:p>
        </w:tc>
        <w:tc>
          <w:tcPr>
            <w:tcW w:type="dxa" w:w="2340"/>
            <w:shd w:fill="EAF2F5" w:val="clear"/>
            <w:tcMar>
              <w:top w:type="dxa" w:w="60"/>
              <w:left w:type="dxa" w:w="100"/>
              <w:bottom w:type="dxa" w:w="60"/>
              <w:right w:type="dxa" w:w="100"/>
            </w:tcMar>
          </w:tcPr>
          <w:p>
            <w:r>
              <w:rPr>
                <w:sz w:val="20"/>
                <w:szCs w:val="20"/>
              </w:rPr>
              <w:t xml:space="preserve">0.4%</w:t>
            </w:r>
          </w:p>
        </w:tc>
      </w:tr>
      <w:tr>
        <w:tc>
          <w:tcPr>
            <w:tcW w:type="dxa" w:w="2340"/>
            <w:shd w:fill="FFFFFF" w:val="clear"/>
            <w:tcMar>
              <w:top w:type="dxa" w:w="60"/>
              <w:left w:type="dxa" w:w="100"/>
              <w:bottom w:type="dxa" w:w="60"/>
              <w:right w:type="dxa" w:w="100"/>
            </w:tcMar>
          </w:tcPr>
          <w:p>
            <w:r>
              <w:rPr>
                <w:sz w:val="20"/>
                <w:szCs w:val="20"/>
              </w:rPr>
              <w:t xml:space="preserve">DeliveryDays</w:t>
            </w:r>
          </w:p>
        </w:tc>
        <w:tc>
          <w:tcPr>
            <w:tcW w:type="dxa" w:w="2340"/>
            <w:shd w:fill="FFFFFF" w:val="clear"/>
            <w:tcMar>
              <w:top w:type="dxa" w:w="60"/>
              <w:left w:type="dxa" w:w="100"/>
              <w:bottom w:type="dxa" w:w="60"/>
              <w:right w:type="dxa" w:w="100"/>
            </w:tcMar>
          </w:tcPr>
          <w:p>
            <w:r>
              <w:rPr>
                <w:sz w:val="20"/>
                <w:szCs w:val="20"/>
              </w:rPr>
              <w:t xml:space="preserve">-1.5 to 10.5 days</w:t>
            </w:r>
          </w:p>
        </w:tc>
        <w:tc>
          <w:tcPr>
            <w:tcW w:type="dxa" w:w="2340"/>
            <w:shd w:fill="FFFFFF" w:val="clear"/>
            <w:tcMar>
              <w:top w:type="dxa" w:w="60"/>
              <w:left w:type="dxa" w:w="100"/>
              <w:bottom w:type="dxa" w:w="60"/>
              <w:right w:type="dxa" w:w="100"/>
            </w:tcMar>
          </w:tcPr>
          <w:p>
            <w:r>
              <w:rPr>
                <w:sz w:val="20"/>
                <w:szCs w:val="20"/>
              </w:rPr>
              <w:t xml:space="preserve">3</w:t>
            </w:r>
          </w:p>
        </w:tc>
        <w:tc>
          <w:tcPr>
            <w:tcW w:type="dxa" w:w="2340"/>
            <w:shd w:fill="FFFFFF" w:val="clear"/>
            <w:tcMar>
              <w:top w:type="dxa" w:w="60"/>
              <w:left w:type="dxa" w:w="100"/>
              <w:bottom w:type="dxa" w:w="60"/>
              <w:right w:type="dxa" w:w="100"/>
            </w:tcMar>
          </w:tcPr>
          <w:p>
            <w:r>
              <w:rPr>
                <w:sz w:val="20"/>
                <w:szCs w:val="20"/>
              </w:rPr>
              <w:t xml:space="preserve">0.2%</w:t>
            </w:r>
          </w:p>
        </w:tc>
      </w:tr>
    </w:tbl>
    <w:p>
      <w:pPr>
        <w:spacing w:after="160" w:line="300"/>
      </w:pPr>
      <w:r>
        <w:t xml:space="preserve">The relatively high outlier share in Price/TotalAmount (~15.5%) is expected in e-commerce data: it mainly reflects genuinely expensive Electronics purchases (laptops, smartphones) sitting alongside low-cost Books and Beauty items, rather than data errors. A small number of extreme values (8 records) were confirmed as true anomalies (prices 15-25x above the category norm) and were addressed via IQR-based capping in the Price_Capped column. ShippingCost and DeliveryDays show very few outliers, confirming these operational metrics are well-controlled.</w:t>
      </w:r>
    </w:p>
    <w:p>
      <w:pPr>
        <w:pStyle w:val="Heading2"/>
        <w:spacing w:after="140" w:before="260"/>
      </w:pPr>
      <w:r>
        <w:rPr>
          <w:b/>
          <w:bCs/>
          <w:color w:val="2C6E91"/>
        </w:rPr>
        <w:t xml:space="preserve">4.5 Summary of Findings</w:t>
      </w:r>
    </w:p>
    <w:p>
      <w:pPr>
        <w:spacing w:after="160" w:line="300"/>
      </w:pPr>
      <w:r>
        <w:t xml:space="preserve">The cleaned e-commerce dataset shows a business with broad, well-diversified performance across product categories, cities, and payment methods, with Electronics as the primary revenue driver due to high price points rather than order volume. Order value is fundamentally explained by price and quantity, while demographic factors (age, gender) and service factors (shipping cost, delivery speed) show only mild associations with spend. Customer satisfaction (ratings) remains consistently favorable across all segments. The main data-quality challenges — missing values, duplicate orders, sign errors, and price outliers — were all successfully identified and resolved, leaving a clean, analysis-ready dataset of 1,996 records.</w:t>
      </w:r>
    </w:p>
    <w:p>
      <w:r>
        <w:br w:type="page"/>
      </w:r>
    </w:p>
    <w:p>
      <w:pPr>
        <w:pStyle w:val="Heading1"/>
        <w:pBdr>
          <w:bottom w:val="single" w:color="2C6E91" w:sz="8" w:space="4"/>
        </w:pBdr>
        <w:spacing w:after="180" w:before="360"/>
      </w:pPr>
      <w:r>
        <w:rPr>
          <w:b/>
          <w:bCs/>
          <w:color w:val="1F4E5F"/>
        </w:rPr>
        <w:t xml:space="preserve">Task 5: Data Visualization</w:t>
      </w:r>
    </w:p>
    <w:p>
      <w:pPr>
        <w:spacing w:after="160" w:line="300"/>
      </w:pPr>
      <w:r>
        <w:t xml:space="preserve">Eight charts were created to visually communicate the key patterns identified during EDA. Each chart uses a clear title, labeled axes, and an appropriate chart type for the data being shown.</w:t>
      </w:r>
    </w:p>
    <w:p>
      <w:pPr>
        <w:pStyle w:val="Heading2"/>
        <w:spacing w:after="140" w:before="260"/>
      </w:pPr>
      <w:r>
        <w:rPr>
          <w:b/>
          <w:bCs/>
          <w:color w:val="2C6E91"/>
        </w:rPr>
        <w:t xml:space="preserve">Figure 1: Monthly Revenue Trend</w:t>
      </w:r>
    </w:p>
    <w:p>
      <w:pPr>
        <w:spacing w:before="2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619375"/>
                    </a:xfrm>
                    <a:prstGeom prst="rect">
                      <a:avLst/>
                    </a:prstGeom>
                  </pic:spPr>
                </pic:pic>
              </a:graphicData>
            </a:graphic>
          </wp:inline>
        </w:drawing>
      </w:r>
    </w:p>
    <w:p>
      <w:pPr>
        <w:spacing w:after="300" w:before="100"/>
        <w:jc w:val="center"/>
      </w:pPr>
      <w:r>
        <w:rPr>
          <w:i/>
          <w:iCs/>
          <w:color w:val="555555"/>
          <w:sz w:val="20"/>
          <w:szCs w:val="20"/>
        </w:rPr>
        <w:t xml:space="preserve">A line chart showing total revenue by month across 2023-2024, revealing overall fluctuation and a peak around mid-2024.</w:t>
      </w:r>
    </w:p>
    <w:p>
      <w:pPr>
        <w:pStyle w:val="Heading2"/>
        <w:spacing w:after="140" w:before="260"/>
      </w:pPr>
      <w:r>
        <w:rPr>
          <w:b/>
          <w:bCs/>
          <w:color w:val="2C6E91"/>
        </w:rPr>
        <w:t xml:space="preserve">Figure 2: Revenue by Product Category</w:t>
      </w:r>
    </w:p>
    <w:p>
      <w:pPr>
        <w:spacing w:before="200"/>
        <w:jc w:val="center"/>
      </w:pPr>
      <w:r>
        <w:drawing>
          <wp:inline distT="0" distB="0" distL="0" distR="0">
            <wp:extent cx="5762625"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524250"/>
                    </a:xfrm>
                    <a:prstGeom prst="rect">
                      <a:avLst/>
                    </a:prstGeom>
                  </pic:spPr>
                </pic:pic>
              </a:graphicData>
            </a:graphic>
          </wp:inline>
        </w:drawing>
      </w:r>
    </w:p>
    <w:p>
      <w:pPr>
        <w:spacing w:after="300" w:before="100"/>
        <w:jc w:val="center"/>
      </w:pPr>
      <w:r>
        <w:rPr>
          <w:i/>
          <w:iCs/>
          <w:color w:val="555555"/>
          <w:sz w:val="20"/>
          <w:szCs w:val="20"/>
        </w:rPr>
        <w:t xml:space="preserve">A bar chart comparing total revenue generated by each product category, showing Electronics as the clear leader.</w:t>
      </w:r>
    </w:p>
    <w:p>
      <w:pPr>
        <w:pStyle w:val="Heading2"/>
        <w:spacing w:after="140" w:before="260"/>
      </w:pPr>
      <w:r>
        <w:rPr>
          <w:b/>
          <w:bCs/>
          <w:color w:val="2C6E91"/>
        </w:rPr>
        <w:t xml:space="preserve">Figure 3: Correlation Heatmap</w:t>
      </w:r>
    </w:p>
    <w:p>
      <w:pPr>
        <w:spacing w:before="200"/>
        <w:jc w:val="center"/>
      </w:pPr>
      <w:r>
        <w:drawing>
          <wp:inline distT="0" distB="0" distL="0" distR="0">
            <wp:extent cx="5762625"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743450"/>
                    </a:xfrm>
                    <a:prstGeom prst="rect">
                      <a:avLst/>
                    </a:prstGeom>
                  </pic:spPr>
                </pic:pic>
              </a:graphicData>
            </a:graphic>
          </wp:inline>
        </w:drawing>
      </w:r>
    </w:p>
    <w:p>
      <w:pPr>
        <w:spacing w:after="300" w:before="100"/>
        <w:jc w:val="center"/>
      </w:pPr>
      <w:r>
        <w:rPr>
          <w:i/>
          <w:iCs/>
          <w:color w:val="555555"/>
          <w:sz w:val="20"/>
          <w:szCs w:val="20"/>
        </w:rPr>
        <w:t xml:space="preserve">A heatmap of correlation coefficients between numeric variables, highlighting the strong Price-TotalAmount relationship.</w:t>
      </w:r>
    </w:p>
    <w:p>
      <w:pPr>
        <w:pStyle w:val="Heading2"/>
        <w:spacing w:after="140" w:before="260"/>
      </w:pPr>
      <w:r>
        <w:rPr>
          <w:b/>
          <w:bCs/>
          <w:color w:val="2C6E91"/>
        </w:rPr>
        <w:t xml:space="preserve">Figure 4: Price Distribution and Outlier Treatment</w:t>
      </w:r>
    </w:p>
    <w:p>
      <w:pPr>
        <w:spacing w:before="2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19375"/>
                    </a:xfrm>
                    <a:prstGeom prst="rect">
                      <a:avLst/>
                    </a:prstGeom>
                  </pic:spPr>
                </pic:pic>
              </a:graphicData>
            </a:graphic>
          </wp:inline>
        </w:drawing>
      </w:r>
    </w:p>
    <w:p>
      <w:pPr>
        <w:spacing w:after="300" w:before="100"/>
        <w:jc w:val="center"/>
      </w:pPr>
      <w:r>
        <w:rPr>
          <w:i/>
          <w:iCs/>
          <w:color w:val="555555"/>
          <w:sz w:val="20"/>
          <w:szCs w:val="20"/>
        </w:rPr>
        <w:t xml:space="preserve">Side-by-side boxplots comparing the raw Price distribution (with visible outliers) to the outlier-capped version.</w:t>
      </w:r>
    </w:p>
    <w:p>
      <w:pPr>
        <w:pStyle w:val="Heading2"/>
        <w:spacing w:after="140" w:before="260"/>
      </w:pPr>
      <w:r>
        <w:rPr>
          <w:b/>
          <w:bCs/>
          <w:color w:val="2C6E91"/>
        </w:rPr>
        <w:t xml:space="preserve">Figure 5: Customer Age Distribution</w:t>
      </w:r>
    </w:p>
    <w:p>
      <w:pPr>
        <w:spacing w:before="20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200400"/>
                    </a:xfrm>
                    <a:prstGeom prst="rect">
                      <a:avLst/>
                    </a:prstGeom>
                  </pic:spPr>
                </pic:pic>
              </a:graphicData>
            </a:graphic>
          </wp:inline>
        </w:drawing>
      </w:r>
    </w:p>
    <w:p>
      <w:pPr>
        <w:spacing w:after="300" w:before="100"/>
        <w:jc w:val="center"/>
      </w:pPr>
      <w:r>
        <w:rPr>
          <w:i/>
          <w:iCs/>
          <w:color w:val="555555"/>
          <w:sz w:val="20"/>
          <w:szCs w:val="20"/>
        </w:rPr>
        <w:t xml:space="preserve">A histogram with density curve showing the spread of customer ages, centered around 30-40 years.</w:t>
      </w:r>
    </w:p>
    <w:p>
      <w:pPr>
        <w:pStyle w:val="Heading2"/>
        <w:spacing w:after="140" w:before="260"/>
      </w:pPr>
      <w:r>
        <w:rPr>
          <w:b/>
          <w:bCs/>
          <w:color w:val="2C6E91"/>
        </w:rPr>
        <w:t xml:space="preserve">Figure 6: Payment Method Share</w:t>
      </w:r>
    </w:p>
    <w:p>
      <w:pPr>
        <w:spacing w:before="200"/>
        <w:jc w:val="center"/>
      </w:pPr>
      <w:r>
        <w:drawing>
          <wp:inline distT="0" distB="0" distL="0" distR="0">
            <wp:extent cx="5762625"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762625"/>
                    </a:xfrm>
                    <a:prstGeom prst="rect">
                      <a:avLst/>
                    </a:prstGeom>
                  </pic:spPr>
                </pic:pic>
              </a:graphicData>
            </a:graphic>
          </wp:inline>
        </w:drawing>
      </w:r>
    </w:p>
    <w:p>
      <w:pPr>
        <w:spacing w:after="300" w:before="100"/>
        <w:jc w:val="center"/>
      </w:pPr>
      <w:r>
        <w:rPr>
          <w:i/>
          <w:iCs/>
          <w:color w:val="555555"/>
          <w:sz w:val="20"/>
          <w:szCs w:val="20"/>
        </w:rPr>
        <w:t xml:space="preserve">A pie chart showing the proportional share of orders across the five payment methods.</w:t>
      </w:r>
    </w:p>
    <w:p>
      <w:pPr>
        <w:pStyle w:val="Heading2"/>
        <w:spacing w:after="140" w:before="260"/>
      </w:pPr>
      <w:r>
        <w:rPr>
          <w:b/>
          <w:bCs/>
          <w:color w:val="2C6E91"/>
        </w:rPr>
        <w:t xml:space="preserve">Figure 7: Average Spend by Age Group and Gender</w:t>
      </w:r>
    </w:p>
    <w:p>
      <w:pPr>
        <w:spacing w:before="200"/>
        <w:jc w:val="center"/>
      </w:pPr>
      <w:r>
        <w:drawing>
          <wp:inline distT="0" distB="0" distL="0" distR="0">
            <wp:extent cx="57626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171825"/>
                    </a:xfrm>
                    <a:prstGeom prst="rect">
                      <a:avLst/>
                    </a:prstGeom>
                  </pic:spPr>
                </pic:pic>
              </a:graphicData>
            </a:graphic>
          </wp:inline>
        </w:drawing>
      </w:r>
    </w:p>
    <w:p>
      <w:pPr>
        <w:spacing w:after="300" w:before="100"/>
        <w:jc w:val="center"/>
      </w:pPr>
      <w:r>
        <w:rPr>
          <w:i/>
          <w:iCs/>
          <w:color w:val="555555"/>
          <w:sz w:val="20"/>
          <w:szCs w:val="20"/>
        </w:rPr>
        <w:t xml:space="preserve">A grouped bar chart comparing average order value across age groups, split by gender.</w:t>
      </w:r>
    </w:p>
    <w:p>
      <w:pPr>
        <w:pStyle w:val="Heading2"/>
        <w:spacing w:after="140" w:before="260"/>
      </w:pPr>
      <w:r>
        <w:rPr>
          <w:b/>
          <w:bCs/>
          <w:color w:val="2C6E91"/>
        </w:rPr>
        <w:t xml:space="preserve">Figure 8: Price vs. Total Order Amount</w:t>
      </w:r>
    </w:p>
    <w:p>
      <w:pPr>
        <w:spacing w:before="200"/>
        <w:jc w:val="center"/>
      </w:pPr>
      <w:r>
        <w:drawing>
          <wp:inline distT="0" distB="0" distL="0" distR="0">
            <wp:extent cx="576262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838575"/>
                    </a:xfrm>
                    <a:prstGeom prst="rect">
                      <a:avLst/>
                    </a:prstGeom>
                  </pic:spPr>
                </pic:pic>
              </a:graphicData>
            </a:graphic>
          </wp:inline>
        </w:drawing>
      </w:r>
    </w:p>
    <w:p>
      <w:pPr>
        <w:spacing w:after="300" w:before="100"/>
        <w:jc w:val="center"/>
      </w:pPr>
      <w:r>
        <w:rPr>
          <w:i/>
          <w:iCs/>
          <w:color w:val="555555"/>
          <w:sz w:val="20"/>
          <w:szCs w:val="20"/>
        </w:rPr>
        <w:t xml:space="preserve">A scatter plot of unit price against total order amount, colored by quantity, illustrating how both factors combine to drive revenue.</w:t>
      </w:r>
    </w:p>
    <w:p>
      <w:r>
        <w:br w:type="page"/>
      </w:r>
    </w:p>
    <w:p>
      <w:pPr>
        <w:pStyle w:val="Heading1"/>
        <w:pBdr>
          <w:bottom w:val="single" w:color="2C6E91" w:sz="8" w:space="4"/>
        </w:pBdr>
        <w:spacing w:after="180" w:before="360"/>
      </w:pPr>
      <w:r>
        <w:rPr>
          <w:b/>
          <w:bCs/>
          <w:color w:val="1F4E5F"/>
        </w:rPr>
        <w:t xml:space="preserve">Conclusion</w:t>
      </w:r>
    </w:p>
    <w:p>
      <w:pPr>
        <w:spacing w:after="160" w:line="300"/>
      </w:pPr>
      <w:r>
        <w:t xml:space="preserve">This project applied a complete data-analytics workflow — dataset selection, inspection, cleaning, exploratory analysis, and visualization — to a real-world-style e-commerce sales dataset. The cleaning stage successfully resolved missing values, duplicate records, and data-entry errors, producing a reliable analysis-ready dataset. The exploratory analysis and visualizations together reveal that Electronics products drive the majority of revenue despite average order volumes, that order value is primarily a function of price and quantity rather than demographics or delivery performance, and that the business maintains a well-diversified customer base across cities, age groups, and payment methods. These findings demonstrate the practical value of systematic data preparation and EDA in generating actionable business insight.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cb4589409e362eb1066cb057958d0250e158b5.png"/><Relationship Id="rId8" Type="http://schemas.openxmlformats.org/officeDocument/2006/relationships/image" Target="media/c9830239fd44107d1251a0a4b53306fe41828ff7.png"/><Relationship Id="rId9" Type="http://schemas.openxmlformats.org/officeDocument/2006/relationships/image" Target="media/52197bc5d6baca5bd32a2337df12d833e19ca5bc.png"/><Relationship Id="rId10" Type="http://schemas.openxmlformats.org/officeDocument/2006/relationships/image" Target="media/c632e6ba9cfda023e2ee09ab862495ff7eac1d4c.png"/><Relationship Id="rId11" Type="http://schemas.openxmlformats.org/officeDocument/2006/relationships/image" Target="media/33578d80137ea3e6958f8e38e4276a3fc73cffef.png"/><Relationship Id="rId12" Type="http://schemas.openxmlformats.org/officeDocument/2006/relationships/image" Target="media/9fbc053f35e0048956c283fff6e53237083a8bd5.png"/><Relationship Id="rId13" Type="http://schemas.openxmlformats.org/officeDocument/2006/relationships/image" Target="media/4627af4adc93d8028acaee2bf8770d5d414c544c.png"/><Relationship Id="rId14" Type="http://schemas.openxmlformats.org/officeDocument/2006/relationships/image" Target="media/8fc9e06c8f50e9fbc88a9c75cba4e4097314728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2026-09-11T11:24:37.908Z</dcterms:created>
  <dcterms:modified xsi:type="dcterms:W3CDTF">2026-09-11T11:24:37.917Z</dcterms:modified>
</cp:coreProperties>
</file>

<file path=docProps/custom.xml><?xml version="1.0" encoding="utf-8"?>
<Properties xmlns="http://schemas.openxmlformats.org/officeDocument/2006/custom-properties" xmlns:vt="http://schemas.openxmlformats.org/officeDocument/2006/docPropsVTypes"/>
</file>