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F4E5F"/>
          <w:sz w:val="40"/>
          <w:szCs w:val="40"/>
        </w:rPr>
        <w:t xml:space="preserve">Task 4: Exploratory Data Analysis (EDA)</w:t>
      </w:r>
    </w:p>
    <w:p>
      <w:pPr>
        <w:spacing w:after="200" w:before="200"/>
        <w:jc w:val="center"/>
      </w:pPr>
      <w:r>
        <w:rPr>
          <w:i/>
          <w:iCs/>
          <w:color w:val="2C6E91"/>
          <w:sz w:val="26"/>
          <w:szCs w:val="26"/>
        </w:rPr>
        <w:t xml:space="preserve">E-Commerce Sales Dataset — Sales / Customer Analytics Domain</w:t>
      </w:r>
    </w:p>
    <w:p>
      <w:pPr>
        <w:spacing w:before="600"/>
        <w:jc w:val="center"/>
      </w:pPr>
      <w:r>
        <w:rPr>
          <w:color w:val="777777"/>
          <w:sz w:val="20"/>
          <w:szCs w:val="20"/>
        </w:rPr>
        <w:t xml:space="preserve">September 2026</w:t>
      </w:r>
    </w:p>
    <w:p>
      <w:pPr>
        <w:spacing w:before="400"/>
      </w:pPr>
    </w:p>
    <w:p>
      <w:pPr>
        <w:pStyle w:val="Heading1"/>
        <w:pBdr>
          <w:bottom w:val="single" w:color="2C6E91" w:sz="8" w:space="4"/>
        </w:pBdr>
        <w:spacing w:after="180" w:before="360"/>
      </w:pPr>
      <w:r>
        <w:rPr>
          <w:b/>
          <w:bCs/>
          <w:color w:val="1F4E5F"/>
        </w:rPr>
        <w:t xml:space="preserve">1. Introduction &amp; Dataset Overview</w:t>
      </w:r>
    </w:p>
    <w:p>
      <w:pPr>
        <w:spacing w:after="160" w:line="300"/>
      </w:pPr>
      <w:r>
        <w:t xml:space="preserve">This document presents the Exploratory Data Analysis (EDA) performed on an E-Commerce Sales dataset (Sales / Customer Analytics domain). The dataset contains order-level records covering customer demographics, product details, pricing, discounts, shipping, delivery performance, and customer ratings across January 2023 to December 2024. The analysis below covers data inspection, cleaning, missing-value handling, descriptive statistics, correlation analysis, pattern/trend identification, and outlier detection.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Raw dataset size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2,035 rows × 15 columns</w:t>
            </w:r>
          </w:p>
        </w:tc>
      </w:tr>
      <w:tr>
        <w:tc>
          <w:tcPr>
            <w:tcW w:type="dxa" w:w="468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Cleaned dataset size</w:t>
            </w:r>
          </w:p>
        </w:tc>
        <w:tc>
          <w:tcPr>
            <w:tcW w:type="dxa" w:w="468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1,996 rows × 21 columns (5 engineered columns added)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 period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2023 – December 2024</w:t>
            </w:r>
          </w:p>
        </w:tc>
      </w:tr>
      <w:tr>
        <w:tc>
          <w:tcPr>
            <w:tcW w:type="dxa" w:w="468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Granularity</w:t>
            </w:r>
          </w:p>
        </w:tc>
        <w:tc>
          <w:tcPr>
            <w:tcW w:type="dxa" w:w="468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One row per order</w:t>
            </w:r>
          </w:p>
        </w:tc>
      </w:tr>
    </w:tbl>
    <w:p>
      <w:pPr>
        <w:pStyle w:val="Heading1"/>
        <w:pBdr>
          <w:bottom w:val="single" w:color="2C6E91" w:sz="8" w:space="4"/>
        </w:pBdr>
        <w:spacing w:after="180" w:before="360"/>
      </w:pPr>
      <w:r>
        <w:rPr>
          <w:b/>
          <w:bCs/>
          <w:color w:val="1F4E5F"/>
        </w:rPr>
        <w:t xml:space="preserve">2. Data Inspection</w:t>
      </w:r>
    </w:p>
    <w:p>
      <w:pPr>
        <w:spacing w:after="160" w:line="300"/>
      </w:pPr>
      <w:r>
        <w:t xml:space="preserve">The dataset was inspected using standard exploratory functions (.head(), .info(), .describe(), .dtypes) before any cleaning. It comprises a mix of numeric fields (Age, Price, Quantity, DiscountPercent, ShippingCost, DeliveryDays, Rating), categorical fields (Gender, City, ProductCategory, ProductName, PaymentMethod), identifiers (OrderID, CustomerID), and one datetime field (OrderDate).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86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OrderID / CustomerID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Unique order id; customers repeat</w:t>
            </w:r>
          </w:p>
        </w:tc>
      </w:tr>
      <w:tr>
        <w:tc>
          <w:tcPr>
            <w:tcW w:type="dxa" w:w="260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Gender</w:t>
            </w:r>
          </w:p>
        </w:tc>
        <w:tc>
          <w:tcPr>
            <w:tcW w:type="dxa" w:w="190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Categorical</w:t>
            </w:r>
          </w:p>
        </w:tc>
        <w:tc>
          <w:tcPr>
            <w:tcW w:type="dxa" w:w="486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Male / Female / Other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Age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 (float)</w:t>
            </w:r>
          </w:p>
        </w:tc>
        <w:tc>
          <w:tcPr>
            <w:tcW w:type="dxa" w:w="4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Contained missing values</w:t>
            </w:r>
          </w:p>
        </w:tc>
      </w:tr>
      <w:tr>
        <w:tc>
          <w:tcPr>
            <w:tcW w:type="dxa" w:w="260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</w:t>
            </w:r>
          </w:p>
        </w:tc>
        <w:tc>
          <w:tcPr>
            <w:tcW w:type="dxa" w:w="190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Categorical</w:t>
            </w:r>
          </w:p>
        </w:tc>
        <w:tc>
          <w:tcPr>
            <w:tcW w:type="dxa" w:w="486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Contained missing values &amp; inconsistent casing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ProductCategory / ProductName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Categorical</w:t>
            </w:r>
          </w:p>
        </w:tc>
        <w:tc>
          <w:tcPr>
            <w:tcW w:type="dxa" w:w="4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 categories, 30 products</w:t>
            </w:r>
          </w:p>
        </w:tc>
      </w:tr>
      <w:tr>
        <w:tc>
          <w:tcPr>
            <w:tcW w:type="dxa" w:w="260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Quantity</w:t>
            </w:r>
          </w:p>
        </w:tc>
        <w:tc>
          <w:tcPr>
            <w:tcW w:type="dxa" w:w="190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Contained invalid (≤0) entries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Price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 (float)</w:t>
            </w:r>
          </w:p>
        </w:tc>
        <w:tc>
          <w:tcPr>
            <w:tcW w:type="dxa" w:w="4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Contained negative values &amp; outliers</w:t>
            </w:r>
          </w:p>
        </w:tc>
      </w:tr>
      <w:tr>
        <w:tc>
          <w:tcPr>
            <w:tcW w:type="dxa" w:w="260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DiscountPercent</w:t>
            </w:r>
          </w:p>
        </w:tc>
        <w:tc>
          <w:tcPr>
            <w:tcW w:type="dxa" w:w="190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0–30% range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OrderDate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Used to derive month/year trends</w:t>
            </w:r>
          </w:p>
        </w:tc>
      </w:tr>
      <w:tr>
        <w:tc>
          <w:tcPr>
            <w:tcW w:type="dxa" w:w="260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ShippingCost</w:t>
            </w:r>
          </w:p>
        </w:tc>
        <w:tc>
          <w:tcPr>
            <w:tcW w:type="dxa" w:w="190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 (float)</w:t>
            </w:r>
          </w:p>
        </w:tc>
        <w:tc>
          <w:tcPr>
            <w:tcW w:type="dxa" w:w="486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Contained missing values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DeliveryDays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1–11 days</w:t>
            </w:r>
          </w:p>
        </w:tc>
      </w:tr>
      <w:tr>
        <w:tc>
          <w:tcPr>
            <w:tcW w:type="dxa" w:w="260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Rating</w:t>
            </w:r>
          </w:p>
        </w:tc>
        <w:tc>
          <w:tcPr>
            <w:tcW w:type="dxa" w:w="190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 (float)</w:t>
            </w:r>
          </w:p>
        </w:tc>
        <w:tc>
          <w:tcPr>
            <w:tcW w:type="dxa" w:w="486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1–5 scale; contained missing values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PaymentMethod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Categorical</w:t>
            </w:r>
          </w:p>
        </w:tc>
        <w:tc>
          <w:tcPr>
            <w:tcW w:type="dxa" w:w="4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 payment modes; contained missing values</w:t>
            </w:r>
          </w:p>
        </w:tc>
      </w:tr>
    </w:tbl>
    <w:p>
      <w:pPr>
        <w:spacing w:after="160" w:line="300"/>
      </w:pPr>
      <w:r>
        <w:t xml:space="preserve">Initial inspection also flagged 26 exact duplicate rows, 9 duplicate OrderIDs with conflicting values, 6 negative-price records, 4 zero/negative-quantity records, and inconsistent text casing in 99 City values — all addressed in the cleaning step below.</w:t>
      </w:r>
    </w:p>
    <w:p>
      <w:pPr>
        <w:pStyle w:val="Heading1"/>
        <w:pBdr>
          <w:bottom w:val="single" w:color="2C6E91" w:sz="8" w:space="4"/>
        </w:pBdr>
        <w:spacing w:after="180" w:before="360"/>
      </w:pPr>
      <w:r>
        <w:rPr>
          <w:b/>
          <w:bCs/>
          <w:color w:val="1F4E5F"/>
        </w:rPr>
        <w:t xml:space="preserve">3. Data Cleaning &amp; Missing-Value Handling</w:t>
      </w:r>
    </w:p>
    <w:p>
      <w:pPr>
        <w:pStyle w:val="Heading2"/>
        <w:spacing w:after="140" w:before="260"/>
      </w:pPr>
      <w:r>
        <w:rPr>
          <w:b/>
          <w:bCs/>
          <w:color w:val="2C6E91"/>
        </w:rPr>
        <w:t xml:space="preserve">3.1 Missing Values Identified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Missing Count</w:t>
            </w:r>
          </w:p>
        </w:tc>
        <w:tc>
          <w:tcPr>
            <w:tcW w:type="dxa" w:w="312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Missing %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Rating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153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7.52%</w:t>
            </w:r>
          </w:p>
        </w:tc>
      </w:tr>
      <w:tr>
        <w:tc>
          <w:tcPr>
            <w:tcW w:type="dxa" w:w="312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Age</w:t>
            </w:r>
          </w:p>
        </w:tc>
        <w:tc>
          <w:tcPr>
            <w:tcW w:type="dxa" w:w="312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92</w:t>
            </w:r>
          </w:p>
        </w:tc>
        <w:tc>
          <w:tcPr>
            <w:tcW w:type="dxa" w:w="312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4.52%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ShippingCost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61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3.00%</w:t>
            </w:r>
          </w:p>
        </w:tc>
      </w:tr>
      <w:tr>
        <w:tc>
          <w:tcPr>
            <w:tcW w:type="dxa" w:w="312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</w:t>
            </w:r>
          </w:p>
        </w:tc>
        <w:tc>
          <w:tcPr>
            <w:tcW w:type="dxa" w:w="312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42</w:t>
            </w:r>
          </w:p>
        </w:tc>
        <w:tc>
          <w:tcPr>
            <w:tcW w:type="dxa" w:w="312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2.06%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PaymentMethod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1.72%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  <w:color w:val="2C6E91"/>
        </w:rPr>
        <w:t xml:space="preserve">3.2 Cleaning Actions Taken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Removed 26 exact duplicate rows and 9 duplicate OrderIDs with conflicting data (kept first occurrence).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Removed 4 invalid records where Quantity ≤ 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Corrected 6 negative Price values by taking the absolute value (identified as sign-entry errors).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Standardized text casing in City, ProductCategory, and PaymentMethod to consistent Title Case.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Imputed missing numeric values (Age, ShippingCost, Rating) using the median — robust to skew and outliers.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Imputed missing categorical values (City, PaymentMethod) using the mode (most frequent category).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Capped extreme Price and Quantity outliers using the IQR method, stored in separate Price_Capped / Quantity_Capped columns so raw values remain available for reference.</w:t>
      </w:r>
    </w:p>
    <w:p>
      <w:pPr>
        <w:spacing w:after="160" w:line="300"/>
      </w:pPr>
      <w:r>
        <w:t xml:space="preserve">Result: the cleaned dataset has zero missing values and zero duplicate rows, with 1,996 valid order records ready for analysis.</w:t>
      </w:r>
    </w:p>
    <w:p>
      <w:r>
        <w:br w:type="page"/>
      </w:r>
    </w:p>
    <w:p>
      <w:pPr>
        <w:pStyle w:val="Heading1"/>
        <w:pBdr>
          <w:bottom w:val="single" w:color="2C6E91" w:sz="8" w:space="4"/>
        </w:pBdr>
        <w:spacing w:after="180" w:before="360"/>
      </w:pPr>
      <w:r>
        <w:rPr>
          <w:b/>
          <w:bCs/>
          <w:color w:val="1F4E5F"/>
        </w:rPr>
        <w:t xml:space="preserve">4. Descriptive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1600"/>
        <w:gridCol w:w="1600"/>
        <w:gridCol w:w="1600"/>
        <w:gridCol w:w="1800"/>
        <w:gridCol w:w="1400"/>
      </w:tblGrid>
      <w:tr>
        <w:trPr>
          <w:tblHeader/>
        </w:trPr>
        <w:tc>
          <w:tcPr>
            <w:tcW w:type="dxa" w:w="136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</w:t>
            </w:r>
          </w:p>
        </w:tc>
        <w:tc>
          <w:tcPr>
            <w:tcW w:type="dxa" w:w="16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 (₹)</w:t>
            </w:r>
          </w:p>
        </w:tc>
        <w:tc>
          <w:tcPr>
            <w:tcW w:type="dxa" w:w="16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18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TotalAmount (₹)</w:t>
            </w:r>
          </w:p>
        </w:tc>
        <w:tc>
          <w:tcPr>
            <w:tcW w:type="dxa" w:w="1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</w:tr>
      <w:tr>
        <w:tc>
          <w:tcPr>
            <w:tcW w:type="dxa" w:w="1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Mean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35.0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3,145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1.71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5,595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3.90</w:t>
            </w:r>
          </w:p>
        </w:tc>
      </w:tr>
      <w:tr>
        <w:tc>
          <w:tcPr>
            <w:tcW w:type="dxa" w:w="136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Median</w:t>
            </w:r>
          </w:p>
        </w:tc>
        <w:tc>
          <w:tcPr>
            <w:tcW w:type="dxa" w:w="160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W w:type="dxa" w:w="160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1,590</w:t>
            </w:r>
          </w:p>
        </w:tc>
        <w:tc>
          <w:tcPr>
            <w:tcW w:type="dxa" w:w="160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1,933</w:t>
            </w:r>
          </w:p>
        </w:tc>
        <w:tc>
          <w:tcPr>
            <w:tcW w:type="dxa" w:w="140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4.0</w:t>
            </w:r>
          </w:p>
        </w:tc>
      </w:tr>
      <w:tr>
        <w:tc>
          <w:tcPr>
            <w:tcW w:type="dxa" w:w="1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Std. Dev.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11.3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10,150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4.0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18,850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1.11</w:t>
            </w:r>
          </w:p>
        </w:tc>
      </w:tr>
      <w:tr>
        <w:tc>
          <w:tcPr>
            <w:tcW w:type="dxa" w:w="136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Min</w:t>
            </w:r>
          </w:p>
        </w:tc>
        <w:tc>
          <w:tcPr>
            <w:tcW w:type="dxa" w:w="160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50.5</w:t>
            </w:r>
          </w:p>
        </w:tc>
        <w:tc>
          <w:tcPr>
            <w:tcW w:type="dxa" w:w="160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43.1</w:t>
            </w:r>
          </w:p>
        </w:tc>
        <w:tc>
          <w:tcPr>
            <w:tcW w:type="dxa" w:w="140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Max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73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419,741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98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~750,000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5.0</w:t>
            </w:r>
          </w:p>
        </w:tc>
      </w:tr>
    </w:tbl>
    <w:p>
      <w:pPr>
        <w:spacing w:after="160" w:line="300"/>
      </w:pPr>
      <w:r>
        <w:t xml:space="preserve">Price, Quantity, and TotalAmount are all strongly right-skewed (skewness of 26.7, 19.1, and 12.6 respectively) with very high kurtosis, confirming a small number of extreme high-value transactions pull the mean well above the median. ShippingCost and DeliveryDays are close to symmetric (skewness near 0), consistent with normal operational variation rather than data issues.</w:t>
      </w:r>
    </w:p>
    <w:p>
      <w:pPr>
        <w:spacing w:after="160" w:line="300"/>
      </w:pPr>
      <w:r>
        <w:t xml:space="preserve">Categorical composition: Gender is fairly balanced between Female (~49%) and Male (~47%), with a small Other category (~4%). Orders are evenly spread across the six product categories (roughly 320–350 orders each) and across the ten cities, indicating no single segment dominates order volume.</w:t>
      </w:r>
    </w:p>
    <w:p>
      <w:pPr>
        <w:pStyle w:val="Heading1"/>
        <w:pBdr>
          <w:bottom w:val="single" w:color="2C6E91" w:sz="8" w:space="4"/>
        </w:pBdr>
        <w:spacing w:after="180" w:before="360"/>
      </w:pPr>
      <w:r>
        <w:rPr>
          <w:b/>
          <w:bCs/>
          <w:color w:val="1F4E5F"/>
        </w:rPr>
        <w:t xml:space="preserve">5. Correlation Analysis</w:t>
      </w:r>
    </w:p>
    <w:p>
      <w:pPr>
        <w:spacing w:before="200"/>
        <w:jc w:val="center"/>
      </w:pPr>
      <w:r>
        <w:drawing>
          <wp:inline distT="0" distB="0" distL="0" distR="0">
            <wp:extent cx="5762625" cy="474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555555"/>
          <w:sz w:val="20"/>
          <w:szCs w:val="20"/>
        </w:rPr>
        <w:t xml:space="preserve">Correlation heatmap of the key numeric variables in the cleaned dataset.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Price and TotalAmount are strongly positively correlated (r = 0.79) — expected, since price is a direct component of order value.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Quantity and TotalAmount show a moderate positive correlation (r = 0.40), showing both price and quantity independently drive revenue.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Age, DiscountPercent, ShippingCost, DeliveryDays, and Rating all show negligible correlation (|r| &lt; 0.05) with each other and with revenue — these operational and demographic factors behave largely independently of order value.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DiscountPercent shows a very weak negative correlation with TotalAmount (r = -0.04), suggesting discounts alone are not a strong lever of order value in this data.</w:t>
      </w:r>
    </w:p>
    <w:p>
      <w:pPr>
        <w:pStyle w:val="Heading1"/>
        <w:pBdr>
          <w:bottom w:val="single" w:color="2C6E91" w:sz="8" w:space="4"/>
        </w:pBdr>
        <w:spacing w:after="180" w:before="360"/>
      </w:pPr>
      <w:r>
        <w:rPr>
          <w:b/>
          <w:bCs/>
          <w:color w:val="1F4E5F"/>
        </w:rPr>
        <w:t xml:space="preserve">6. Important Patterns and Trends</w:t>
      </w:r>
    </w:p>
    <w:p>
      <w:pPr>
        <w:pStyle w:val="Heading2"/>
        <w:spacing w:after="140" w:before="260"/>
      </w:pPr>
      <w:r>
        <w:rPr>
          <w:b/>
          <w:bCs/>
          <w:color w:val="2C6E91"/>
        </w:rPr>
        <w:t xml:space="preserve">6.1 Revenue Trend Over Time</w:t>
      </w:r>
    </w:p>
    <w:p>
      <w:pPr>
        <w:spacing w:before="200"/>
        <w:jc w:val="center"/>
      </w:pPr>
      <w:r>
        <w:drawing>
          <wp:inline distT="0" distB="0" distL="0" distR="0">
            <wp:extent cx="5762625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555555"/>
          <w:sz w:val="20"/>
          <w:szCs w:val="20"/>
        </w:rPr>
        <w:t xml:space="preserve">Monthly revenue fluctuates between ≈₹2.95 lakh and ₹8.72 lakh, with a notable peak in mid-2024.</w:t>
      </w:r>
    </w:p>
    <w:p>
      <w:pPr>
        <w:pStyle w:val="Heading2"/>
        <w:spacing w:after="140" w:before="260"/>
      </w:pPr>
      <w:r>
        <w:rPr>
          <w:b/>
          <w:bCs/>
          <w:color w:val="2C6E91"/>
        </w:rPr>
        <w:t xml:space="preserve">6.2 Revenue by Product Category</w:t>
      </w:r>
    </w:p>
    <w:p>
      <w:pPr>
        <w:spacing w:before="200"/>
        <w:jc w:val="center"/>
      </w:pPr>
      <w:r>
        <w:drawing>
          <wp:inline distT="0" distB="0" distL="0" distR="0">
            <wp:extent cx="5762625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555555"/>
          <w:sz w:val="20"/>
          <w:szCs w:val="20"/>
        </w:rPr>
        <w:t xml:space="preserve">Electronics dominates revenue (≈₹69.8 lakh) despite a similar order count to other categories — driven by high unit prices rather than volume.</w:t>
      </w:r>
    </w:p>
    <w:p>
      <w:pPr>
        <w:pStyle w:val="Heading2"/>
        <w:spacing w:after="140" w:before="260"/>
      </w:pPr>
      <w:r>
        <w:rPr>
          <w:b/>
          <w:bCs/>
          <w:color w:val="2C6E91"/>
        </w:rPr>
        <w:t xml:space="preserve">6.3 Spend by Age Group and Gender</w:t>
      </w:r>
    </w:p>
    <w:p>
      <w:pPr>
        <w:spacing w:before="200"/>
        <w:jc w:val="center"/>
      </w:pPr>
      <w:r>
        <w:drawing>
          <wp:inline distT="0" distB="0" distL="0" distR="0">
            <wp:extent cx="5762625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555555"/>
          <w:sz w:val="20"/>
          <w:szCs w:val="20"/>
        </w:rPr>
        <w:t xml:space="preserve">Customers aged 36–55 show the highest average order value (≈₹6,550); the 'Other' gender group shows the highest average spend overall, though on a small sample (83 orders).</w:t>
      </w:r>
    </w:p>
    <w:p>
      <w:pPr>
        <w:pStyle w:val="Heading2"/>
        <w:spacing w:after="140" w:before="260"/>
      </w:pPr>
      <w:r>
        <w:rPr>
          <w:b/>
          <w:bCs/>
          <w:color w:val="2C6E91"/>
        </w:rPr>
        <w:t xml:space="preserve">6.4 Payment Method Usage</w:t>
      </w:r>
    </w:p>
    <w:p>
      <w:pPr>
        <w:spacing w:before="200"/>
        <w:jc w:val="center"/>
      </w:pPr>
      <w:r>
        <w:drawing>
          <wp:inline distT="0" distB="0" distL="0" distR="0">
            <wp:extent cx="5762625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555555"/>
          <w:sz w:val="20"/>
          <w:szCs w:val="20"/>
        </w:rPr>
        <w:t xml:space="preserve">Usage is well distributed across all five payment modes (Net Banking leads at 22.3%; others between 18.7% and 19.9%).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Geographic spread: Mumbai, Hyderabad, and Delhi are the top three revenue-generating cities, but no single city exceeds ~14% of total revenue — a geographically diversified customer base.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Ratings by category: Average ratings are consistently high across all categories (3.84–3.95 out of 5), with Home &amp; Kitchen rated slightly higher and Sports slightly lower.</w:t>
      </w:r>
    </w:p>
    <w:p>
      <w:r>
        <w:br w:type="page"/>
      </w:r>
    </w:p>
    <w:p>
      <w:pPr>
        <w:pStyle w:val="Heading1"/>
        <w:pBdr>
          <w:bottom w:val="single" w:color="2C6E91" w:sz="8" w:space="4"/>
        </w:pBdr>
        <w:spacing w:after="180" w:before="360"/>
      </w:pPr>
      <w:r>
        <w:rPr>
          <w:b/>
          <w:bCs/>
          <w:color w:val="1F4E5F"/>
        </w:rPr>
        <w:t xml:space="preserve">7. Outlier Identification</w:t>
      </w:r>
    </w:p>
    <w:p>
      <w:pPr>
        <w:spacing w:after="160" w:line="300"/>
      </w:pPr>
      <w:r>
        <w:t xml:space="preserve">Outliers were identified using the Interquartile Range (IQR) method (values beyond Q1 − 1.5×IQR or Q3 + 1.5×IQR).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34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IQR Bounds</w:t>
            </w:r>
          </w:p>
        </w:tc>
        <w:tc>
          <w:tcPr>
            <w:tcW w:type="dxa" w:w="234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Outlier Count</w:t>
            </w:r>
          </w:p>
        </w:tc>
        <w:tc>
          <w:tcPr>
            <w:tcW w:type="dxa" w:w="234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of Data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Price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₹-2,851 to ₹6,708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312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15.6%</w:t>
            </w:r>
          </w:p>
        </w:tc>
      </w:tr>
      <w:tr>
        <w:tc>
          <w:tcPr>
            <w:tcW w:type="dxa" w:w="234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TotalAmount</w:t>
            </w:r>
          </w:p>
        </w:tc>
        <w:tc>
          <w:tcPr>
            <w:tcW w:type="dxa" w:w="234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₹-4,471 to ₹9,605</w:t>
            </w:r>
          </w:p>
        </w:tc>
        <w:tc>
          <w:tcPr>
            <w:tcW w:type="dxa" w:w="234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309</w:t>
            </w:r>
          </w:p>
        </w:tc>
        <w:tc>
          <w:tcPr>
            <w:tcW w:type="dxa" w:w="234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15.5%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Quantity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-0.5 to 3.5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129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6.5%</w:t>
            </w:r>
          </w:p>
        </w:tc>
      </w:tr>
      <w:tr>
        <w:tc>
          <w:tcPr>
            <w:tcW w:type="dxa" w:w="234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ShippingCost</w:t>
            </w:r>
          </w:p>
        </w:tc>
        <w:tc>
          <w:tcPr>
            <w:tcW w:type="dxa" w:w="234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₹-28.6 to ₹187.2</w:t>
            </w:r>
          </w:p>
        </w:tc>
        <w:tc>
          <w:tcPr>
            <w:tcW w:type="dxa" w:w="234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0.4%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DeliveryDays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-1.5 to 10.5 days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0.2%</w:t>
            </w:r>
          </w:p>
        </w:tc>
      </w:tr>
    </w:tbl>
    <w:p>
      <w:pPr>
        <w:spacing w:before="200"/>
        <w:jc w:val="center"/>
      </w:pPr>
      <w:r>
        <w:drawing>
          <wp:inline distT="0" distB="0" distL="0" distR="0">
            <wp:extent cx="5762625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555555"/>
          <w:sz w:val="20"/>
          <w:szCs w:val="20"/>
        </w:rPr>
        <w:t xml:space="preserve">Boxplot comparison of raw Price (left, with visible outliers) versus the IQR-capped version (right).</w:t>
      </w:r>
    </w:p>
    <w:p>
      <w:pPr>
        <w:spacing w:after="160" w:line="300"/>
      </w:pPr>
      <w:r>
        <w:t xml:space="preserve">The relatively high outlier share in Price/TotalAmount (~15.5%) is expected in e-commerce data: it mainly reflects genuinely expensive Electronics purchases (laptops, smartphones) sitting alongside low-cost Books and Beauty items, rather than data errors. A small number of extreme values (8 records, 15–25× the category norm) were confirmed as true anomalies and addressed via IQR-based capping. ShippingCost and DeliveryDays show very few outliers, confirming these operational metrics are well-controlled.</w:t>
      </w:r>
    </w:p>
    <w:p>
      <w:pPr>
        <w:pStyle w:val="Heading1"/>
        <w:pBdr>
          <w:bottom w:val="single" w:color="2C6E91" w:sz="8" w:space="4"/>
        </w:pBdr>
        <w:spacing w:after="180" w:before="360"/>
      </w:pPr>
      <w:r>
        <w:rPr>
          <w:b/>
          <w:bCs/>
          <w:color w:val="1F4E5F"/>
        </w:rPr>
        <w:t xml:space="preserve">8. Summary of Findings</w:t>
      </w:r>
    </w:p>
    <w:p>
      <w:pPr>
        <w:spacing w:after="160" w:line="300"/>
      </w:pPr>
      <w:r>
        <w:t xml:space="preserve">The cleaned e-commerce dataset reflects a business with broad, well-diversified performance across product categories, cities, and payment methods. Electronics is the primary revenue driver, but this is due to high price points rather than higher order volume — order counts are similar across categories. Order value (TotalAmount) is fundamentally explained by unit price (r = 0.79) and quantity (r = 0.40), while demographic factors (age, gender) and service factors (discount, shipping cost, delivery speed) show only weak or negligible association with spend. Customer satisfaction, measured through ratings, remains consistently favorable (average ~3.9/5) across all segments, suggesting no category or region is systematically underperforming on customer experience. The main data-quality issues in the raw data — missing values, duplicate orders, sign errors, and price outliers — were all identified and resolved, resulting in a reliable, analysis-ready dataset of 1,996 records that supports the patterns and conclusions summarized above.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2197bc5d6baca5bd32a2337df12d833e19ca5bc.png"/><Relationship Id="rId8" Type="http://schemas.openxmlformats.org/officeDocument/2006/relationships/image" Target="media/21cb4589409e362eb1066cb057958d0250e158b5.png"/><Relationship Id="rId9" Type="http://schemas.openxmlformats.org/officeDocument/2006/relationships/image" Target="media/c9830239fd44107d1251a0a4b53306fe41828ff7.png"/><Relationship Id="rId10" Type="http://schemas.openxmlformats.org/officeDocument/2006/relationships/image" Target="media/4627af4adc93d8028acaee2bf8770d5d414c544c.png"/><Relationship Id="rId11" Type="http://schemas.openxmlformats.org/officeDocument/2006/relationships/image" Target="media/9fbc053f35e0048956c283fff6e53237083a8bd5.png"/><Relationship Id="rId12" Type="http://schemas.openxmlformats.org/officeDocument/2006/relationships/image" Target="media/c632e6ba9cfda023e2ee09ab862495ff7eac1d4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2026-09-11T14:12:25.085Z</dcterms:created>
  <dcterms:modified xsi:type="dcterms:W3CDTF">2026-09-11T14:12:25.094Z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