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A0</w:t>
      </w:r>
    </w:p>
    <w:p>
      <w:r>
        <w:rPr>
          <w:b/>
          <w:sz w:val="28"/>
        </w:rPr>
        <w:t>Human baseline</w:t>
      </w:r>
    </w:p>
    <w:p>
      <w:r>
        <w:rPr>
          <w:i/>
          <w:color w:val="606A76"/>
        </w:rPr>
        <w:t>Measurement stage on the unmodified pack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none — this arm is fully deterministic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pPr>
        <w:pStyle w:val="Heading1"/>
      </w:pPr>
      <w:r>
        <w:t>At a glance</w:t>
      </w:r>
    </w:p>
    <w:p>
      <w:r>
        <w:t>Each metric is defined in Part 1 and reported in full in Appendix A. The figures below are computed from the same result set the appendix reads.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measures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Authoring friction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Lines a person must write to stand up the pack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1642 lines; 17 templates, 6 categories, 9 policies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Joint (category x policy) distribution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Whether coverage of conversation shapes is a target or an accident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15/54 cells populated; single_turn 54.5%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Slot and fixture coverage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How much of the domain is exercised, including entities never touched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17/50 entities bound; 9/9 tools called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Utterance diversity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How many genuinely different sentences, as opposed to how many rows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 tasks -&gt; 17 distinct slot-masked (1.0 per template)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Publish funnel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Where tasks drop out between expansion and publication, and why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33 -&gt; 33, nothing dropped; publish 100%, gold 100%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how much friction does an Oracle Pack cost today, and what does the benchmark it produces actually look like?</w:t>
      </w:r>
    </w:p>
    <w:p>
      <w:r>
        <w:t xml:space="preserve">Nothing is cut and nothing is derived. A0 generates </w:t>
      </w:r>
      <w:r>
        <w:rPr>
          <w:rFonts w:ascii="Consolas" w:hAnsi="Consolas"/>
          <w:color w:val="24292E"/>
          <w:sz w:val="19"/>
        </w:rPr>
        <w:t>banking_vn</w:t>
      </w:r>
      <w:r>
        <w:t xml:space="preserve"> exactly as authored and is the first thing in the pipeline to report a property of the </w:t>
      </w:r>
      <w:r>
        <w:rPr>
          <w:i/>
        </w:rPr>
        <w:t>benchmark</w:t>
      </w:r>
      <w:r>
        <w:t xml:space="preserve"> rather than of the </w:t>
      </w:r>
      <w:r>
        <w:rPr>
          <w:i/>
        </w:rPr>
        <w:t>run</w:t>
      </w:r>
      <w:r>
        <w:t>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bfcl_ablation/run_a0.py</w:t>
        <w:br/>
        <w:t>PYTHONPATH=src python3 bfcl_ablation/sweep_budget.py 6 12 24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benchmark has 33 tasks and 17 sentences</w:t>
      </w:r>
    </w:p>
    <w:p>
      <w:r>
        <w:t xml:space="preserve">Masking every bound slot value with its slot name collapses 33 published tasks to </w:t>
      </w:r>
      <w:r>
        <w:rPr>
          <w:b/>
        </w:rPr>
        <w:t>17 distinct utterances — exactly one per template</w:t>
      </w:r>
      <w:r>
        <w:t xml:space="preserve">. </w:t>
      </w:r>
      <w:r>
        <w:rPr>
          <w:rFonts w:ascii="Consolas" w:hAnsi="Consolas"/>
          <w:color w:val="24292E"/>
          <w:sz w:val="19"/>
        </w:rPr>
        <w:t>qr_payment</w:t>
      </w:r>
      <w:r>
        <w:t xml:space="preserve"> is six tasks and one sentence.</w:t>
      </w:r>
    </w:p>
    <w:p>
      <w:r>
        <w:rPr>
          <w:rFonts w:ascii="Consolas" w:hAnsi="Consolas"/>
          <w:color w:val="24292E"/>
          <w:sz w:val="19"/>
        </w:rPr>
        <w:t>user_turn_templates.{lang}</w:t>
      </w:r>
      <w:r>
        <w:t xml:space="preserve"> is a single string, so every task a template emits repeats that template's one sentence with different ids substituted in.</w:t>
      </w:r>
    </w:p>
    <w:p>
      <w:r>
        <w:rPr>
          <w:i/>
        </w:rPr>
        <w:t>So what:</w:t>
      </w:r>
      <w:r>
        <w:t xml:space="preserve"> a model could score well by matching surface forms it has effectively seen 6 times. This is the entire motivation for A2.</w:t>
      </w:r>
    </w:p>
    <w:p>
      <w:pPr>
        <w:pStyle w:val="Heading3"/>
      </w:pPr>
      <w:r>
        <w:t>2. No config knob can fix that</w:t>
      </w:r>
    </w:p>
    <w:p>
      <w:r>
        <w:t xml:space="preserve">Raising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from 6 to 24 nearly triples the tasks and nearly doubles entity coverage, and leaves the sentence count </w:t>
      </w:r>
      <w:r>
        <w:rPr>
          <w:b/>
        </w:rPr>
        <w:t>exactly</w:t>
      </w:r>
      <w:r>
        <w:t xml:space="preserve"> where it started: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tasks_per_category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fixture entities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single_turn</w:t>
            </w:r>
            <w:r>
              <w:rPr>
                <w:b/>
                <w:sz w:val="18"/>
              </w:rPr>
              <w:t xml:space="preserve"> share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t>The benchmark has three axes — entity coverage, policy mix, surface diversity — and one knob, which reaches one of them. At budget 24 each sentence repeats 5.4 times on average.</w:t>
      </w:r>
    </w:p>
    <w:p>
      <w:r>
        <w:rPr>
          <w:i/>
        </w:rPr>
        <w:t>So what:</w:t>
      </w:r>
      <w:r>
        <w:t xml:space="preserve"> surface diversity is structurally unreachable without a new authoring mechanism. A2 is not an optimisation, it is the only route.</w:t>
      </w:r>
    </w:p>
    <w:p>
      <w:pPr>
        <w:pStyle w:val="Heading3"/>
      </w:pPr>
      <w:r>
        <w:t>3. The policy mix is an accident of category composition</w:t>
      </w:r>
    </w:p>
    <w:p>
      <w:r>
        <w:rPr>
          <w:rFonts w:ascii="Consolas" w:hAnsi="Consolas"/>
          <w:color w:val="24292E"/>
          <w:sz w:val="19"/>
        </w:rPr>
        <w:t>single_turn</w:t>
      </w:r>
      <w:r>
        <w:t xml:space="preserve"> takes </w:t>
      </w:r>
      <w:r>
        <w:rPr>
          <w:b/>
        </w:rPr>
        <w:t>54.5%</w:t>
      </w:r>
      <w:r>
        <w:t xml:space="preserve"> of tasks. </w:t>
      </w:r>
      <w:r>
        <w:rPr>
          <w:rFonts w:ascii="Consolas" w:hAnsi="Consolas"/>
          <w:color w:val="24292E"/>
          <w:sz w:val="19"/>
        </w:rPr>
        <w:t>correction</w:t>
      </w:r>
      <w:r>
        <w:t xml:space="preserve">,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, </w:t>
      </w:r>
      <w:r>
        <w:rPr>
          <w:rFonts w:ascii="Consolas" w:hAnsi="Consolas"/>
          <w:color w:val="24292E"/>
          <w:sz w:val="19"/>
        </w:rPr>
        <w:t>multi_tool</w:t>
      </w:r>
      <w:r>
        <w:t xml:space="preserve">,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and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get </w:t>
      </w:r>
      <w:r>
        <w:rPr>
          <w:b/>
        </w:rPr>
        <w:t>exactly one task each</w:t>
      </w:r>
      <w:r>
        <w:t>.</w:t>
      </w:r>
    </w:p>
    <w:p>
      <w:r>
        <w:t xml:space="preserve">The budget is spent per </w:t>
      </w:r>
      <w:r>
        <w:rPr>
          <w:i/>
        </w:rPr>
        <w:t>category</w:t>
      </w:r>
      <w:r>
        <w:t xml:space="preserve"> and round-robined across that category's templates, so a policy's share is decided by how many templates happen to share its category — not by any target. Raising the budget does not fix it either (see the table above: 54.5% → 49.1% → 50.5%).</w:t>
      </w:r>
    </w:p>
    <w:p>
      <w:r>
        <w:t xml:space="preserve">Only </w:t>
      </w:r>
      <w:r>
        <w:rPr>
          <w:b/>
        </w:rPr>
        <w:t>15 of 54</w:t>
      </w:r>
      <w:r>
        <w:t xml:space="preserve"> (category × policy) cells hold a task: 35 are feasible but unwritten, 4 are structurally empty.</w:t>
      </w:r>
    </w:p>
    <w:p>
      <w:r>
        <w:rPr>
          <w:i/>
        </w:rPr>
        <w:t>So what:</w:t>
      </w:r>
      <w:r>
        <w:t xml:space="preserve"> this is the measurement behind the plan's §3.2. A coverage target must be joint over (category × policy), and it must be a target rather than an emergent artifact.</w:t>
      </w:r>
    </w:p>
    <w:p>
      <w:pPr>
        <w:pStyle w:val="Heading3"/>
      </w:pPr>
      <w:r>
        <w:t>4. Policy breadth and entity depth trade against each other</w:t>
      </w:r>
    </w:p>
    <w:p>
      <w:r>
        <w:t>At the same budget of 6: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templates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entity coverage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sentences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qr_payment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6/6 (100%)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balance_inquiry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2/8 accounts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</w:tr>
    </w:tbl>
    <w:p/>
    <w:p>
      <w:r>
        <w:t xml:space="preserve">Round-robin gives each template one instance per pass, so the more policies a category covers, the fewer instances each template gets, and the fewer fixture entities get exercised. A category can buy policy breadth </w:t>
      </w:r>
      <w:r>
        <w:rPr>
          <w:i/>
        </w:rPr>
        <w:t>or</w:t>
      </w:r>
      <w:r>
        <w:t xml:space="preserve"> entity depth, not both.</w:t>
      </w:r>
    </w:p>
    <w:p>
      <w:r>
        <w:rPr>
          <w:i/>
        </w:rPr>
        <w:t>So what:</w:t>
      </w:r>
      <w:r>
        <w:t xml:space="preserve"> the coverage spec needs a third dimension. Budgeting jointly over (category × policy) alone will still starve entity coverage.</w:t>
      </w:r>
    </w:p>
    <w:p>
      <w:pPr>
        <w:pStyle w:val="Heading3"/>
      </w:pPr>
      <w:r>
        <w:t>5. A 100% publish rate means the funnel measures nothing</w:t>
      </w:r>
    </w:p>
    <w:p>
      <w:r>
        <w:rPr>
          <w:b/>
        </w:rPr>
        <w:t>No task is dropped at any stage</w:t>
      </w:r>
      <w:r>
        <w:t>, at any budget: 33/33, 55/55, 91/91. Expand → plan → render → trace → schema → replay → publish loses nothing.</w:t>
      </w:r>
    </w:p>
    <w:p>
      <w:r>
        <w:rPr>
          <w:i/>
        </w:rPr>
        <w:t>So what:</w:t>
      </w:r>
      <w:r>
        <w:t xml:space="preserve"> there is currently no measurement that distinguishes a strict pack from a permissive one. "Publish rate" reads like a quality score and is not one. The A4 concern — that no gate measures assertion strictness — is not a future risk, it is already true at A0, and it is why A4 exists.</w:t>
      </w:r>
    </w:p>
    <w:p>
      <w:pPr>
        <w:pStyle w:val="Heading3"/>
      </w:pPr>
      <w:r>
        <w:t>6. Twelve fixture entities are unreachable by design</w:t>
      </w:r>
    </w:p>
    <w:p>
      <w:r>
        <w:rPr>
          <w:rFonts w:ascii="Consolas" w:hAnsi="Consolas"/>
          <w:color w:val="24292E"/>
          <w:sz w:val="19"/>
        </w:rPr>
        <w:t>transfers</w:t>
      </w:r>
      <w:r>
        <w:t xml:space="preserve"> (4),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 (6) and </w:t>
      </w:r>
      <w:r>
        <w:rPr>
          <w:rFonts w:ascii="Consolas" w:hAnsi="Consolas"/>
          <w:color w:val="24292E"/>
          <w:sz w:val="19"/>
        </w:rPr>
        <w:t>transfer_scenarios</w:t>
      </w:r>
      <w:r>
        <w:t xml:space="preserve"> (2) are bound by no slot in any template. They are backend state, not task subjects, so the real ceiling is 38, not 50 — at budget 24 coverage is 32/38 (84%), not 32/50 (64%).</w:t>
      </w:r>
    </w:p>
    <w:p>
      <w:r>
        <w:rPr>
          <w:i/>
        </w:rPr>
        <w:t>So what:</w:t>
      </w:r>
      <w:r>
        <w:t xml:space="preserve"> the coverage metric currently conflates "not covered yet" with "cannot be covered". Worth separating before a coverage target is set against it, or the target will be unreachable by construction.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readout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authoring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1642 lines across 7 pack files + run config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17, in 6 categories, using 9 turn policies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per template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27.8 lines of </w:t>
            </w:r>
            <w:r>
              <w:rPr>
                <w:rFonts w:ascii="Consolas" w:hAnsi="Consolas"/>
                <w:color w:val="24292E"/>
                <w:sz w:val="18"/>
              </w:rPr>
              <w:t>task_templates.yaml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33 generated, 33 published, tier </w:t>
            </w:r>
            <w:r>
              <w:rPr>
                <w:rFonts w:ascii="Consolas" w:hAnsi="Consolas"/>
                <w:color w:val="24292E"/>
                <w:sz w:val="18"/>
              </w:rPr>
              <w:t>gold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joint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15/54 cells populated, 35 unwritten, 4 structurally empty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fixture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17/50 entities bound (38 reachable)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tool coverage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9/9 tools appear in at least one expected trace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surface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33 raw / </w:t>
            </w:r>
            <w:r>
              <w:rPr>
                <w:b/>
                <w:sz w:val="18"/>
              </w:rPr>
              <w:t>17 slot-masked</w:t>
            </w:r>
            <w:r>
              <w:rPr>
                <w:sz w:val="18"/>
              </w:rPr>
              <w:t xml:space="preserve"> distinct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funnel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 rows lost at any stage</w:t>
            </w:r>
          </w:p>
        </w:tc>
      </w:tr>
    </w:tbl>
    <w:p/>
    <w:p>
      <w:r>
        <w:t>Authoring cost by file: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nature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task_templates.yaml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17 templates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backend.py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465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executable simulator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validation_cases.yaml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199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23 probes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assertions.py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14 assertions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tools.json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 schemas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fixtures.json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state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manifest.yaml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wiring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 config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mostly defaults</w:t>
            </w:r>
          </w:p>
        </w:tc>
      </w:tr>
    </w:tbl>
    <w:p/>
    <w:p>
      <w:r>
        <w:t xml:space="preserve">The lexical-shortcut probe from the plan's §5 is reported as </w:t>
      </w:r>
      <w:r>
        <w:rPr>
          <w:b/>
        </w:rPr>
        <w:t>not runnable</w:t>
      </w:r>
      <w:r>
        <w:t xml:space="preserve"> at A0 rather than as a number: a generalization gap needs several phrasings per intent, and there is exactly one. It becomes available at A2.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Structural emptiness is a heuristic.</w:t>
      </w:r>
      <w:r>
        <w:t xml:space="preserve"> It is inferred from the union of </w:t>
      </w:r>
      <w:r>
        <w:rPr>
          <w:rFonts w:ascii="Consolas" w:hAnsi="Consolas"/>
          <w:color w:val="24292E"/>
          <w:sz w:val="19"/>
        </w:rPr>
        <w:t>tools_present</w:t>
      </w:r>
    </w:p>
    <w:p>
      <w:r>
        <w:t xml:space="preserve">across a category's </w:t>
      </w:r>
      <w:r>
        <w:rPr>
          <w:i/>
        </w:rPr>
        <w:t>existing</w:t>
      </w:r>
      <w:r>
        <w:t xml:space="preserve"> templates, which is circular for a category nobody has written templates for. The report states this inline.</w:t>
      </w:r>
    </w:p>
    <w:p>
      <w:pPr>
        <w:pStyle w:val="ListBullet"/>
      </w:pPr>
      <w:r>
        <w:rPr>
          <w:b/>
        </w:rPr>
        <w:t>A0 uses `lineage.policy: strict_separation`</w:t>
      </w:r>
      <w:r>
        <w:t>, not the reference config's</w:t>
      </w:r>
    </w:p>
    <w:p>
      <w:r>
        <w:rPr>
          <w:rFonts w:ascii="Consolas" w:hAnsi="Consolas"/>
          <w:color w:val="24292E"/>
          <w:sz w:val="19"/>
        </w:rPr>
        <w:t>smoke_no_publication</w:t>
      </w:r>
      <w:r>
        <w:t xml:space="preserve">, which forces </w:t>
      </w:r>
      <w:r>
        <w:rPr>
          <w:rFonts w:ascii="Consolas" w:hAnsi="Consolas"/>
          <w:color w:val="24292E"/>
          <w:sz w:val="19"/>
        </w:rPr>
        <w:t>gold_eligible: False</w:t>
      </w:r>
      <w:r>
        <w:t xml:space="preserve"> regardless of validation and would have made the publish-rate readout vacuous.</w:t>
      </w:r>
    </w:p>
    <w:p>
      <w:pPr>
        <w:pStyle w:val="ListBullet"/>
      </w:pPr>
      <w:r>
        <w:t>Blank and comment lines count toward LOC. Excluding them would flatter whichever arm is</w:t>
      </w:r>
    </w:p>
    <w:p>
      <w:r>
        <w:t>less commented.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results/A0/report.md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results/A0/metrics.json</w:t>
      </w:r>
      <w:r>
        <w:t xml:space="preserve">, </w:t>
      </w:r>
      <w:r>
        <w:rPr>
          <w:rFonts w:ascii="Consolas" w:hAnsi="Consolas"/>
          <w:color w:val="24292E"/>
          <w:sz w:val="19"/>
        </w:rPr>
        <w:t>results/budget_sweep.json</w:t>
      </w:r>
    </w:p>
    <w:p>
      <w:r>
        <w:t xml:space="preserve">Metric definitions are fixed and versioned in </w:t>
      </w:r>
      <w:r>
        <w:rPr>
          <w:rFonts w:ascii="Consolas" w:hAnsi="Consolas"/>
          <w:color w:val="24292E"/>
          <w:sz w:val="19"/>
        </w:rPr>
        <w:t>results/METRICS.md</w:t>
      </w:r>
      <w:r>
        <w:t xml:space="preserve"> (contract </w:t>
      </w:r>
      <w:r>
        <w:rPr>
          <w:rFonts w:ascii="Consolas" w:hAnsi="Consolas"/>
          <w:color w:val="24292E"/>
          <w:sz w:val="19"/>
        </w:rPr>
        <w:t>1.0</w:t>
      </w:r>
      <w:r>
        <w:t xml:space="preserve">);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carries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and an inline copy of the load-bearing definitions.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Authoring cost by 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1642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assertions.py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backend.py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465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fixtures.json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manifest.yaml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run_config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task_templates.yaml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tools.json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validation_cases.yaml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199</w:t>
            </w:r>
          </w:p>
        </w:tc>
      </w:tr>
    </w:tbl>
    <w:p/>
    <w:p>
      <w:pPr>
        <w:pStyle w:val="Heading3"/>
      </w:pPr>
      <w:r>
        <w:t>A.2 Joint (category x policy) matrix</w:t>
      </w:r>
    </w:p>
    <w:p>
      <w:r>
        <w:t>Cell values are task counts. 'unwritten' means feasible but not authored; 'structural' means no tool in the category's universe can satisfy the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clarify_only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confirmation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correction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dependent_call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irrelevant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missing_slot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multi_tool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negative_path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balance_inquiry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out_of_scope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qr_payment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transaction_status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--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.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</w:tbl>
    <w:p/>
    <w:p>
      <w:pPr>
        <w:pStyle w:val="Heading3"/>
      </w:pPr>
      <w:r>
        <w:t>A.3 Policy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turn_policy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15.2%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9.1%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6.1%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</w:tbl>
    <w:p/>
    <w:p>
      <w:pPr>
        <w:pStyle w:val="Heading3"/>
      </w:pPr>
      <w:r>
        <w:t>A.4 Fixture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collection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primary key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bound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never bound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accounts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account_id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ACC-003, ACC-004, ACC-005, ACC-007, ACC-008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cards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card_id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CARD-002, CARD-003, CARD-004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dispute_id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DSP-0004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fee_schedule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transaction_id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TXN-1003, TXN-1004, TXN-1005, TXN-1006, TXN-1007, TXN-1008, TXN-1009, TXN-1010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transfer_scenarios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transfer_id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TRF-0001, TRF-0002, TRF-0003, TRF-0004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vietqr_payments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payment_ref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</w:tbl>
    <w:p/>
    <w:p>
      <w:r>
        <w:t>Tool call counts: {"create_dispute": 3, "create_transfer": 4, "get_account_balance": 4, "get_card_limit": 2, "get_dispute_status": 3, "get_transaction_status": 4, "get_transfer_fee": 2, "get_vietqr_payment_status": 6, "list_recent_transactions": 3}. Tools never called: none.</w:t>
      </w:r>
    </w:p>
    <w:p>
      <w:pPr>
        <w:pStyle w:val="Heading3"/>
      </w:pPr>
      <w:r>
        <w:t>A.5 Surface diversity by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ratio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balance_inquiry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dispute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out_of_scope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qr_payment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transaction_status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transfer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</w:tr>
    </w:tbl>
    <w:p/>
    <w:p>
      <w:pPr>
        <w:pStyle w:val="Heading3"/>
      </w:pPr>
      <w:r>
        <w:t>A.6 Most repeated masked utterances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utterance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Mã VietQR {payment_ref} đã trừ tiền chưa?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Hồ sơ tra soát {dispute_id} đang ở trạng thái nào?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Mở tra soát cho giao dịch {transaction_id}, lý do {reason}.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Mình muốn đăng ký {service} thì làm thủ tục thế nào?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Cho mình xem số dư tài khoản {account_id}.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Kiểm tra giao dịch {transaction_id} đã thành công chưa.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Liệt kê vài giao dịch gần đây của tài khoản {account_id}.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Phí chuyển {amount_vnd}đ từ {from_account_id} sang {to_account_number} ngân hàng {to_bank_code} qua kênh {rail} là bao nhiêu?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Chuyển ngay {amount_vnd}đ từ {from_account_id} sang {to_account_number} ngân hàng {to_bank_code} qua kênh {rail}.</w:t>
            </w:r>
          </w:p>
        </w:tc>
      </w:tr>
    </w:tbl>
    <w:p/>
    <w:p>
      <w:pPr>
        <w:pStyle w:val="Heading3"/>
      </w:pPr>
      <w:r>
        <w:t>A.7 Publish funnel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survival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lost here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drop reasons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expand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state_machine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render_accepted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expected_trace_derived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schema_valid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replay_valid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benchmark_raw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published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100.0%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</w:tbl>
    <w:p/>
    <w:p>
      <w:pPr>
        <w:pStyle w:val="Heading3"/>
      </w:pPr>
      <w:r>
        <w:t>A.8 Budget sweep</w:t>
      </w:r>
    </w:p>
    <w:p>
      <w:r>
        <w:t>The only generation knob available. It moves entity coverage and leaves surface diversity unchanged.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tasks_per_category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 share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bfcl_ablation/run_a0.py</w:t>
        <w:br/>
        <w:t>PYTHONPATH=src python3 bfcl_ablation/sweep_budget.py 6 12 24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19,892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sha256:e03997e5c50f5989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sha256:8c860dd7fa0e37d2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8,071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sha256:6472ec09d3c6bdd0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