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A1</w:t>
      </w:r>
    </w:p>
    <w:p>
      <w:r>
        <w:rPr>
          <w:b/>
          <w:sz w:val="28"/>
        </w:rPr>
        <w:t>Deterministic simplification</w:t>
      </w:r>
    </w:p>
    <w:p>
      <w:r>
        <w:rPr>
          <w:i/>
          <w:color w:val="606A76"/>
        </w:rPr>
        <w:t>How much friction comes off with no model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none — this arm is fully deterministic</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1412 lines; 17 templates, 6 categories, 9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15/54 cells populated; single_turn 54.5%</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17/50 entities bound; 9/9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33 tasks -&gt; 17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33 -&gt; 33,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w:t>
            </w:r>
          </w:p>
        </w:tc>
      </w:tr>
    </w:tbl>
    <w:p/>
    <w:p>
      <w:r>
        <w:br w:type="page"/>
      </w:r>
    </w:p>
    <w:p>
      <w:pPr>
        <w:pStyle w:val="Heading1"/>
      </w:pPr>
      <w:r>
        <w:t>Part 2 — Findings</w:t>
      </w:r>
    </w:p>
    <w:p>
      <w:r>
        <w:rPr>
          <w:b/>
        </w:rPr>
        <w:t>Question:</w:t>
      </w:r>
      <w:r>
        <w:t xml:space="preserve"> how much authoring friction can be removed with no model involved, and can that be </w:t>
      </w:r>
      <w:r>
        <w:rPr>
          <w:i/>
        </w:rPr>
        <w:t>proved</w:t>
      </w:r>
      <w:r>
        <w:t xml:space="preserve"> rather than argued?</w:t>
      </w:r>
    </w:p>
    <w:p>
      <w:pPr>
        <w:spacing w:after="200"/>
        <w:ind w:left="360"/>
      </w:pPr>
      <w:r>
        <w:rPr>
          <w:rFonts w:ascii="Consolas" w:hAnsi="Consolas"/>
          <w:color w:val="24292E"/>
          <w:sz w:val="17"/>
        </w:rPr>
        <w:t>PYTHONPATH=src python3 bfcl_ablation/run_a1.py    # exits non-zero if not equivalent</w:t>
      </w:r>
    </w:p>
    <w:p>
      <w:pPr>
        <w:spacing w:after="200"/>
        <w:ind w:left="360"/>
      </w:pPr>
      <w:r>
        <w:rPr>
          <w:rFonts w:ascii="Consolas" w:hAnsi="Consolas"/>
          <w:color w:val="24292E"/>
          <w:sz w:val="17"/>
        </w:rPr>
        <w:t>A0 pack --shrink--&gt; A1 authored --rehydrate--&gt; A1 full --pipeline--&gt; benchmark</w:t>
        <w:br/>
        <w:t xml:space="preserve">                        |                                                |</w:t>
        <w:br/>
        <w:t xml:space="preserve">                what a user writes                        compared against A0's</w:t>
      </w:r>
    </w:p>
    <w:p>
      <w:r>
        <w:t>The pipeline is never patched. Rehydration writes an ordinary full pack to disk and the unmodified generator reads it, so both arms go through identical code.</w:t>
      </w:r>
    </w:p>
    <w:p>
      <w:pPr>
        <w:spacing w:before="40"/>
      </w:pPr>
      <w:r>
        <w:rPr>
          <w:color w:val="606A76"/>
          <w:sz w:val="14"/>
        </w:rPr>
        <w:t>______________________________________________________________________________</w:t>
      </w:r>
    </w:p>
    <w:p>
      <w:pPr>
        <w:pStyle w:val="Heading2"/>
      </w:pPr>
      <w:r>
        <w:t>Insights</w:t>
      </w:r>
    </w:p>
    <w:p>
      <w:pPr>
        <w:pStyle w:val="Heading3"/>
      </w:pPr>
      <w:r>
        <w:t>1. 256 lines (15.6%) come off, and the benchmark does not move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A1 + minimized config</w:t>
            </w:r>
          </w:p>
        </w:tc>
      </w:tr>
      <w:tr>
        <w:tc>
          <w:tcPr>
            <w:tcW w:type="dxa" w:w="2160"/>
          </w:tcPr>
          <w:p>
            <w:pPr>
              <w:jc w:val="left"/>
            </w:pPr>
            <w:r>
              <w:rPr>
                <w:sz w:val="18"/>
              </w:rPr>
            </w:r>
            <w:r>
              <w:rPr>
                <w:rFonts w:ascii="Consolas" w:hAnsi="Consolas"/>
                <w:color w:val="24292E"/>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393</w:t>
            </w:r>
          </w:p>
        </w:tc>
      </w:tr>
      <w:tr>
        <w:tc>
          <w:tcPr>
            <w:tcW w:type="dxa" w:w="2160"/>
          </w:tcPr>
          <w:p>
            <w:pPr>
              <w:jc w:val="left"/>
            </w:pPr>
            <w:r>
              <w:rPr>
                <w:sz w:val="18"/>
              </w:rPr>
            </w:r>
            <w:r>
              <w:rPr>
                <w:rFonts w:ascii="Consolas" w:hAnsi="Consolas"/>
                <w:color w:val="24292E"/>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71</w:t>
            </w:r>
          </w:p>
        </w:tc>
      </w:tr>
      <w:tr>
        <w:tc>
          <w:tcPr>
            <w:tcW w:type="dxa" w:w="2160"/>
          </w:tcPr>
          <w:p>
            <w:pPr>
              <w:jc w:val="left"/>
            </w:pPr>
            <w:r>
              <w:rPr>
                <w:sz w:val="18"/>
              </w:rPr>
            </w:r>
            <w:r>
              <w:rPr>
                <w:rFonts w:ascii="Consolas" w:hAnsi="Consolas"/>
                <w:color w:val="24292E"/>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28</w:t>
            </w:r>
          </w:p>
        </w:tc>
      </w:tr>
      <w:tr>
        <w:tc>
          <w:tcPr>
            <w:tcW w:type="dxa" w:w="2160"/>
          </w:tcPr>
          <w:p>
            <w:pPr>
              <w:jc w:val="left"/>
            </w:pPr>
            <w:r>
              <w:rPr>
                <w:sz w:val="18"/>
              </w:rPr>
            </w:r>
            <w:r>
              <w:rPr>
                <w:sz w:val="18"/>
              </w:rPr>
              <w:t>run 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b/>
                <w:sz w:val="18"/>
              </w:rPr>
              <w:t>17</w:t>
            </w:r>
          </w:p>
        </w:tc>
      </w:tr>
      <w:tr>
        <w:tc>
          <w:tcPr>
            <w:tcW w:type="dxa" w:w="2160"/>
          </w:tcPr>
          <w:p>
            <w:pPr>
              <w:jc w:val="left"/>
            </w:pPr>
            <w:r>
              <w:rPr>
                <w:sz w:val="18"/>
              </w:rPr>
            </w:r>
            <w:r>
              <w:rPr>
                <w:rFonts w:ascii="Consolas" w:hAnsi="Consolas"/>
                <w:color w:val="24292E"/>
                <w:sz w:val="18"/>
              </w:rPr>
              <w:t>backend</w:t>
            </w:r>
            <w:r>
              <w:rPr>
                <w:sz w:val="18"/>
              </w:rPr>
              <w:t>/</w:t>
            </w:r>
            <w:r>
              <w:rPr>
                <w:rFonts w:ascii="Consolas" w:hAnsi="Consolas"/>
                <w:color w:val="24292E"/>
                <w:sz w:val="18"/>
              </w:rPr>
              <w:t>assertions</w:t>
            </w:r>
            <w:r>
              <w:rPr>
                <w:sz w:val="18"/>
              </w:rPr>
              <w:t>/</w:t>
            </w:r>
            <w:r>
              <w:rPr>
                <w:rFonts w:ascii="Consolas" w:hAnsi="Consolas"/>
                <w:color w:val="24292E"/>
                <w:sz w:val="18"/>
              </w:rPr>
              <w:t>tools</w:t>
            </w:r>
            <w:r>
              <w:rPr>
                <w:sz w:val="18"/>
              </w:rPr>
              <w:t>/</w:t>
            </w:r>
            <w:r>
              <w:rPr>
                <w:rFonts w:ascii="Consolas" w:hAnsi="Consolas"/>
                <w:color w:val="24292E"/>
                <w:sz w:val="18"/>
              </w:rPr>
              <w:t>fixtures</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r>
      <w:tr>
        <w:tc>
          <w:tcPr>
            <w:tcW w:type="dxa" w:w="2160"/>
          </w:tcPr>
          <w:p>
            <w:pPr>
              <w:jc w:val="left"/>
            </w:pPr>
            <w:r>
              <w:rPr>
                <w:sz w:val="18"/>
              </w:rPr>
            </w:r>
            <w:r>
              <w:rPr>
                <w:b/>
                <w:sz w:val="18"/>
              </w:rPr>
              <w:t>TOTAL</w:t>
            </w:r>
          </w:p>
        </w:tc>
        <w:tc>
          <w:tcPr>
            <w:tcW w:type="dxa" w:w="2160"/>
          </w:tcPr>
          <w:p>
            <w:pPr>
              <w:jc w:val="right"/>
            </w:pPr>
            <w:r>
              <w:rPr>
                <w:sz w:val="18"/>
              </w:rPr>
            </w:r>
            <w:r>
              <w:rPr>
                <w:b/>
                <w:sz w:val="18"/>
              </w:rPr>
              <w:t>1642</w:t>
            </w:r>
          </w:p>
        </w:tc>
        <w:tc>
          <w:tcPr>
            <w:tcW w:type="dxa" w:w="2160"/>
          </w:tcPr>
          <w:p>
            <w:pPr>
              <w:jc w:val="right"/>
            </w:pPr>
            <w:r>
              <w:rPr>
                <w:sz w:val="18"/>
              </w:rPr>
            </w:r>
            <w:r>
              <w:rPr>
                <w:sz w:val="18"/>
              </w:rPr>
              <w:t>1412</w:t>
            </w:r>
          </w:p>
        </w:tc>
        <w:tc>
          <w:tcPr>
            <w:tcW w:type="dxa" w:w="2160"/>
          </w:tcPr>
          <w:p>
            <w:pPr>
              <w:jc w:val="right"/>
            </w:pPr>
            <w:r>
              <w:rPr>
                <w:sz w:val="18"/>
              </w:rPr>
            </w:r>
            <w:r>
              <w:rPr>
                <w:b/>
                <w:sz w:val="18"/>
              </w:rPr>
              <w:t>1386</w:t>
            </w:r>
          </w:p>
        </w:tc>
      </w:tr>
    </w:tbl>
    <w:p/>
    <w:p>
      <w:r>
        <w:t xml:space="preserve">Verified </w:t>
      </w:r>
      <w:r>
        <w:rPr>
          <w:rFonts w:ascii="Consolas" w:hAnsi="Consolas"/>
          <w:color w:val="24292E"/>
          <w:sz w:val="19"/>
        </w:rPr>
        <w:t>EQUIVALENT</w:t>
      </w:r>
      <w:r>
        <w:t xml:space="preserve"> on every arm: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result</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yes — 33 vs 33</w:t>
            </w:r>
          </w:p>
        </w:tc>
      </w:tr>
      <w:tr>
        <w:tc>
          <w:tcPr>
            <w:tcW w:type="dxa" w:w="4320"/>
          </w:tcPr>
          <w:p>
            <w:pPr>
              <w:jc w:val="left"/>
            </w:pPr>
            <w:r>
              <w:rPr>
                <w:sz w:val="18"/>
              </w:rPr>
            </w:r>
            <w:r>
              <w:rPr>
                <w:rFonts w:ascii="Consolas" w:hAnsi="Consolas"/>
                <w:color w:val="24292E"/>
                <w:sz w:val="18"/>
              </w:rPr>
              <w:t>expected_tool_calls</w:t>
            </w:r>
            <w:r>
              <w:rPr>
                <w:sz w:val="18"/>
              </w:rPr>
              <w:t xml:space="preserve"> equal</w:t>
            </w:r>
          </w:p>
        </w:tc>
        <w:tc>
          <w:tcPr>
            <w:tcW w:type="dxa" w:w="4320"/>
          </w:tcPr>
          <w:p>
            <w:pPr>
              <w:jc w:val="left"/>
            </w:pPr>
            <w:r>
              <w:rPr>
                <w:sz w:val="18"/>
              </w:rPr>
            </w:r>
            <w:r>
              <w:rPr>
                <w:sz w:val="18"/>
              </w:rPr>
              <w:t>yes — element-wise over 33 tasks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yes — 33 tasks compared</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yes — 22 → 22 </w:t>
            </w:r>
            <w:r>
              <w:rPr>
                <w:rFonts w:ascii="Consolas" w:hAnsi="Consolas"/>
                <w:color w:val="24292E"/>
                <w:sz w:val="18"/>
              </w:rPr>
              <w:t>(tool, outcome)</w:t>
            </w:r>
            <w:r>
              <w:rPr>
                <w:sz w:val="18"/>
              </w:rPr>
              <w:t xml:space="preserve"> pairs</w:t>
            </w:r>
          </w:p>
        </w:tc>
      </w:tr>
      <w:tr>
        <w:tc>
          <w:tcPr>
            <w:tcW w:type="dxa" w:w="4320"/>
          </w:tcPr>
          <w:p>
            <w:pPr>
              <w:jc w:val="left"/>
            </w:pPr>
            <w:r>
              <w:rPr>
                <w:sz w:val="18"/>
              </w:rPr>
            </w:r>
            <w:r>
              <w:rPr>
                <w:sz w:val="18"/>
              </w:rPr>
              <w:t>gold eligibility preserved</w:t>
            </w:r>
          </w:p>
        </w:tc>
        <w:tc>
          <w:tcPr>
            <w:tcW w:type="dxa" w:w="4320"/>
          </w:tcPr>
          <w:p>
            <w:pPr>
              <w:jc w:val="left"/>
            </w:pPr>
            <w:r>
              <w:rPr>
                <w:sz w:val="18"/>
              </w:rPr>
            </w:r>
            <w:r>
              <w:rPr>
                <w:sz w:val="18"/>
              </w:rPr>
              <w:t>yes</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yes</w:t>
            </w:r>
          </w:p>
        </w:tc>
      </w:tr>
    </w:tbl>
    <w:p/>
    <w:p>
      <w:r>
        <w:t xml:space="preserve">The third and fourth checks were added on review feedback. Neither </w:t>
      </w:r>
      <w:r>
        <w:rPr>
          <w:rFonts w:ascii="Consolas" w:hAnsi="Consolas"/>
          <w:color w:val="24292E"/>
          <w:sz w:val="19"/>
        </w:rPr>
        <w:t>task_id</w:t>
      </w:r>
      <w:r>
        <w:t xml:space="preserve"> nor </w:t>
      </w:r>
      <w:r>
        <w:rPr>
          <w:rFonts w:ascii="Consolas" w:hAnsi="Consolas"/>
          <w:color w:val="24292E"/>
          <w:sz w:val="19"/>
        </w:rPr>
        <w:t>expected_tool_calls</w:t>
      </w:r>
      <w:r>
        <w:t xml:space="preserve"> observes </w:t>
      </w:r>
      <w:r>
        <w:rPr>
          <w:rFonts w:ascii="Consolas" w:hAnsi="Consolas"/>
          <w:color w:val="24292E"/>
          <w:sz w:val="19"/>
        </w:rPr>
        <w:t>assistant_milestones</w:t>
      </w:r>
      <w:r>
        <w:t xml:space="preserve">, so a compiler that emitted </w:t>
      </w:r>
      <w:r>
        <w:rPr>
          <w:rFonts w:ascii="Consolas" w:hAnsi="Consolas"/>
          <w:color w:val="24292E"/>
          <w:sz w:val="19"/>
        </w:rPr>
        <w:t>ask_confirm</w:t>
      </w:r>
      <w:r>
        <w:t xml:space="preserve"> where the author wrote </w:t>
      </w:r>
      <w:r>
        <w:rPr>
          <w:rFonts w:ascii="Consolas" w:hAnsi="Consolas"/>
          <w:color w:val="24292E"/>
          <w:sz w:val="19"/>
        </w:rPr>
        <w:t>ask_for_slot</w:t>
      </w:r>
      <w:r>
        <w:t xml:space="preserve"> — leaving the tool calls untouched — would have passed the original gate while changing the conversation the benchmark tests. Nothing observed validation cases either, so probe coverage could have fallen silently and shown up only as fewer lines. Both checks pass today; neither existed to make that true.</w:t>
      </w:r>
    </w:p>
    <w:p>
      <w:r>
        <w:rPr>
          <w:i/>
        </w:rPr>
        <w:t>So what:</w:t>
      </w:r>
      <w:r>
        <w:t xml:space="preserve"> the reduction is a proof obligation, not a claim. </w:t>
      </w:r>
      <w:r>
        <w:rPr>
          <w:rFonts w:ascii="Consolas" w:hAnsi="Consolas"/>
          <w:color w:val="24292E"/>
          <w:sz w:val="19"/>
        </w:rPr>
        <w:t>run_a1.py</w:t>
      </w:r>
      <w:r>
        <w:t xml:space="preserve"> exits non-zero on divergence, so it works unchanged as a CI regression test on auto-derivation.</w:t>
      </w:r>
    </w:p>
    <w:p>
      <w:pPr>
        <w:pStyle w:val="Heading3"/>
      </w:pPr>
      <w:r>
        <w:t>2. The headline percentage understates it, because half the pack is untouchable</w:t>
      </w:r>
    </w:p>
    <w:p>
      <w:r>
        <w:rPr>
          <w:rFonts w:ascii="Consolas" w:hAnsi="Consolas"/>
          <w:color w:val="24292E"/>
          <w:sz w:val="19"/>
        </w:rPr>
        <w:t>backend.py</w:t>
      </w:r>
      <w:r>
        <w:t xml:space="preserve"> + </w:t>
      </w:r>
      <w:r>
        <w:rPr>
          <w:rFonts w:ascii="Consolas" w:hAnsi="Consolas"/>
          <w:color w:val="24292E"/>
          <w:sz w:val="19"/>
        </w:rPr>
        <w:t>assertions.py</w:t>
      </w:r>
      <w:r>
        <w:t xml:space="preserve"> + </w:t>
      </w:r>
      <w:r>
        <w:rPr>
          <w:rFonts w:ascii="Consolas" w:hAnsi="Consolas"/>
          <w:color w:val="24292E"/>
          <w:sz w:val="19"/>
        </w:rPr>
        <w:t>tools.json</w:t>
      </w:r>
      <w:r>
        <w:t xml:space="preserve"> + </w:t>
      </w:r>
      <w:r>
        <w:rPr>
          <w:rFonts w:ascii="Consolas" w:hAnsi="Consolas"/>
          <w:color w:val="24292E"/>
          <w:sz w:val="19"/>
        </w:rPr>
        <w:t>fixtures.json</w:t>
      </w:r>
      <w:r>
        <w:t xml:space="preserve"> = 877 lines, </w:t>
      </w:r>
      <w:r>
        <w:rPr>
          <w:b/>
        </w:rPr>
        <w:t>53% of the pack</w:t>
      </w:r>
      <w:r>
        <w:t xml:space="preserve">, and none of it can be derived — it is ground truth. Measured against only the </w:t>
      </w:r>
      <w:r>
        <w:rPr>
          <w:i/>
        </w:rPr>
        <w:t>derivable</w:t>
      </w:r>
      <w:r>
        <w:t xml:space="preserve"> surface (765 lines), A1 removes </w:t>
      </w:r>
      <w:r>
        <w:rPr>
          <w:b/>
        </w:rPr>
        <w:t>33%</w:t>
      </w:r>
      <w:r>
        <w:t>.</w:t>
      </w:r>
    </w:p>
    <w:p>
      <w:r>
        <w:rPr>
          <w:rFonts w:ascii="Consolas" w:hAnsi="Consolas"/>
          <w:color w:val="24292E"/>
          <w:sz w:val="19"/>
        </w:rPr>
        <w:t>validation_cases.yaml</w:t>
      </w:r>
      <w:r>
        <w:t xml:space="preserve"> alone goes 199 → 71: 23 hand-written probes become 5 authored plus 22 generated.</w:t>
      </w:r>
    </w:p>
    <w:p>
      <w:r>
        <w:rPr>
          <w:i/>
        </w:rPr>
        <w:t>So what:</w:t>
      </w:r>
      <w:r>
        <w:t xml:space="preserve"> "15.6%" is the honest number for total friction, but the right target for future work is the derivable half, not the whole pack.</w:t>
      </w:r>
    </w:p>
    <w:p>
      <w:pPr>
        <w:pStyle w:val="Heading3"/>
      </w:pPr>
      <w:r>
        <w:t>3. The method matters more than the number: drop a field only if you can rebuild it</w:t>
      </w:r>
    </w:p>
    <w:p>
      <w:r>
        <w:t xml:space="preserve">A field is removed </w:t>
      </w:r>
      <w:r>
        <w:rPr>
          <w:b/>
        </w:rPr>
        <w:t>only when rehydration reproduces it exactly</w:t>
      </w:r>
      <w:r>
        <w:t xml:space="preserve">. Anything the derivation gets wrong stays authored and is reported as </w:t>
      </w:r>
      <w:r>
        <w:rPr>
          <w:rFonts w:ascii="Consolas" w:hAnsi="Consolas"/>
          <w:color w:val="24292E"/>
          <w:sz w:val="19"/>
        </w:rPr>
        <w:t>not_derivable</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verdict</w:t>
            </w:r>
          </w:p>
        </w:tc>
        <w:tc>
          <w:tcPr>
            <w:tcW w:type="dxa" w:w="4320"/>
          </w:tcPr>
          <w:p>
            <w:pPr>
              <w:jc w:val="right"/>
            </w:pPr>
            <w:r>
              <w:rPr>
                <w:b/>
                <w:sz w:val="18"/>
              </w:rPr>
            </w:r>
            <w:r>
              <w:rPr>
                <w:b/>
                <w:sz w:val="18"/>
              </w:rPr>
              <w:t>fields</w:t>
            </w:r>
          </w:p>
        </w:tc>
      </w:tr>
      <w:tr>
        <w:tc>
          <w:tcPr>
            <w:tcW w:type="dxa" w:w="4320"/>
          </w:tcPr>
          <w:p>
            <w:pPr>
              <w:jc w:val="left"/>
            </w:pPr>
            <w:r>
              <w:rPr>
                <w:sz w:val="18"/>
              </w:rPr>
            </w:r>
            <w:r>
              <w:rPr>
                <w:rFonts w:ascii="Consolas" w:hAnsi="Consolas"/>
                <w:color w:val="24292E"/>
                <w:sz w:val="18"/>
              </w:rPr>
              <w:t>derived_exact</w:t>
            </w:r>
          </w:p>
        </w:tc>
        <w:tc>
          <w:tcPr>
            <w:tcW w:type="dxa" w:w="4320"/>
          </w:tcPr>
          <w:p>
            <w:pPr>
              <w:jc w:val="right"/>
            </w:pPr>
            <w:r>
              <w:rPr>
                <w:sz w:val="18"/>
              </w:rPr>
            </w:r>
            <w:r>
              <w:rPr>
                <w:sz w:val="18"/>
              </w:rPr>
              <w:t>39</w:t>
            </w:r>
          </w:p>
        </w:tc>
      </w:tr>
      <w:tr>
        <w:tc>
          <w:tcPr>
            <w:tcW w:type="dxa" w:w="4320"/>
          </w:tcPr>
          <w:p>
            <w:pPr>
              <w:jc w:val="left"/>
            </w:pPr>
            <w:r>
              <w:rPr>
                <w:sz w:val="18"/>
              </w:rPr>
            </w:r>
            <w:r>
              <w:rPr>
                <w:rFonts w:ascii="Consolas" w:hAnsi="Consolas"/>
                <w:color w:val="24292E"/>
                <w:sz w:val="18"/>
              </w:rPr>
              <w:t>surface_changed</w:t>
            </w:r>
            <w:r>
              <w:rPr>
                <w:sz w:val="18"/>
              </w:rPr>
              <w:t xml:space="preserve"> (structure reproduced, wording now pack-wide)</w:t>
            </w:r>
          </w:p>
        </w:tc>
        <w:tc>
          <w:tcPr>
            <w:tcW w:type="dxa" w:w="4320"/>
          </w:tcPr>
          <w:p>
            <w:pPr>
              <w:jc w:val="right"/>
            </w:pPr>
            <w:r>
              <w:rPr>
                <w:sz w:val="18"/>
              </w:rPr>
            </w:r>
            <w:r>
              <w:rPr>
                <w:sz w:val="18"/>
              </w:rPr>
              <w:t>6</w:t>
            </w:r>
          </w:p>
        </w:tc>
      </w:tr>
      <w:tr>
        <w:tc>
          <w:tcPr>
            <w:tcW w:type="dxa" w:w="4320"/>
          </w:tcPr>
          <w:p>
            <w:pPr>
              <w:jc w:val="left"/>
            </w:pPr>
            <w:r>
              <w:rPr>
                <w:sz w:val="18"/>
              </w:rPr>
            </w:r>
            <w:r>
              <w:rPr>
                <w:rFonts w:ascii="Consolas" w:hAnsi="Consolas"/>
                <w:color w:val="24292E"/>
                <w:sz w:val="18"/>
              </w:rPr>
              <w:t>not_derivable</w:t>
            </w:r>
          </w:p>
        </w:tc>
        <w:tc>
          <w:tcPr>
            <w:tcW w:type="dxa" w:w="4320"/>
          </w:tcPr>
          <w:p>
            <w:pPr>
              <w:jc w:val="right"/>
            </w:pPr>
            <w:r>
              <w:rPr>
                <w:sz w:val="18"/>
              </w:rPr>
            </w:r>
            <w:r>
              <w:rPr>
                <w:sz w:val="18"/>
              </w:rPr>
              <w:t>1</w:t>
            </w:r>
          </w:p>
        </w:tc>
      </w:tr>
    </w:tbl>
    <w:p/>
    <w:p>
      <w:r>
        <w:t>By field, across 17 templates plus the manifest: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 exactly</w:t>
            </w:r>
          </w:p>
        </w:tc>
        <w:tc>
          <w:tcPr>
            <w:tcW w:type="dxa" w:w="2160"/>
          </w:tcPr>
          <w:p>
            <w:pPr>
              <w:jc w:val="right"/>
            </w:pPr>
            <w:r>
              <w:rPr>
                <w:b/>
                <w:sz w:val="18"/>
              </w:rPr>
            </w:r>
            <w:r>
              <w:rPr>
                <w:b/>
                <w:sz w:val="18"/>
              </w:rPr>
              <w:t>surface changed</w:t>
            </w:r>
          </w:p>
        </w:tc>
        <w:tc>
          <w:tcPr>
            <w:tcW w:type="dxa" w:w="2160"/>
          </w:tcPr>
          <w:p>
            <w:pPr>
              <w:jc w:val="right"/>
            </w:pPr>
            <w:r>
              <w:rPr>
                <w:b/>
                <w:sz w:val="18"/>
              </w:rPr>
            </w:r>
            <w:r>
              <w:rPr>
                <w:b/>
                <w:sz w:val="18"/>
              </w:rPr>
              <w:t>not derivable</w:t>
            </w:r>
          </w:p>
        </w:tc>
      </w:tr>
      <w:tr>
        <w:tc>
          <w:tcPr>
            <w:tcW w:type="dxa" w:w="2160"/>
          </w:tcPr>
          <w:p>
            <w:pPr>
              <w:jc w:val="left"/>
            </w:pPr>
            <w:r>
              <w:rPr>
                <w:sz w:val="18"/>
              </w:rPr>
            </w:r>
            <w:r>
              <w:rPr>
                <w:rFonts w:ascii="Consolas" w:hAnsi="Consolas"/>
                <w:color w:val="24292E"/>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b/>
                <w:sz w:val="18"/>
              </w:rPr>
              <w:t>1</w:t>
            </w:r>
          </w:p>
        </w:tc>
      </w:tr>
      <w:tr>
        <w:tc>
          <w:tcPr>
            <w:tcW w:type="dxa" w:w="2160"/>
          </w:tcPr>
          <w:p>
            <w:pPr>
              <w:jc w:val="left"/>
            </w:pPr>
            <w:r>
              <w:rPr>
                <w:sz w:val="18"/>
              </w:rPr>
            </w:r>
            <w:r>
              <w:rPr>
                <w:rFonts w:ascii="Consolas" w:hAnsi="Consolas"/>
                <w:color w:val="24292E"/>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r>
        <w:rPr>
          <w:rFonts w:ascii="Consolas" w:hAnsi="Consolas"/>
          <w:color w:val="24292E"/>
          <w:sz w:val="19"/>
        </w:rPr>
        <w:t>user_simulator_turns</w:t>
      </w:r>
      <w:r>
        <w:t xml:space="preserve"> is </w:t>
      </w:r>
      <w:r>
        <w:rPr>
          <w:rFonts w:ascii="Consolas" w:hAnsi="Consolas"/>
          <w:color w:val="24292E"/>
          <w:sz w:val="19"/>
        </w:rPr>
        <w:t>surface_changed</w:t>
      </w:r>
      <w:r>
        <w:t xml:space="preserve"> in every case it appears, never </w:t>
      </w:r>
      <w:r>
        <w:rPr>
          <w:rFonts w:ascii="Consolas" w:hAnsi="Consolas"/>
          <w:color w:val="24292E"/>
          <w:sz w:val="19"/>
        </w:rPr>
        <w:t>derived_exact</w:t>
      </w:r>
      <w:r>
        <w:t xml:space="preserve">, because its </w:t>
      </w:r>
      <w:r>
        <w:rPr>
          <w:i/>
        </w:rPr>
        <w:t>structure</w:t>
      </w:r>
      <w:r>
        <w:t xml:space="preserve"> is compiled but its </w:t>
      </w:r>
      <w:r>
        <w:rPr>
          <w:i/>
        </w:rPr>
        <w:t>wording</w:t>
      </w:r>
      <w:r>
        <w:t xml:space="preserve"> now comes from the pack-wide canonical templates. That is the trade named in insight 7, and the column makes it visible rather than hidden inside an aggregate.</w:t>
      </w:r>
    </w:p>
    <w:p>
      <w:r>
        <w:rPr>
          <w:i/>
        </w:rPr>
        <w:t>So what:</w:t>
      </w:r>
      <w:r>
        <w:t xml:space="preserve"> this turns the plan's </w:t>
      </w:r>
      <w:r>
        <w:rPr>
          <w:rFonts w:ascii="Consolas" w:hAnsi="Consolas"/>
          <w:color w:val="24292E"/>
          <w:sz w:val="19"/>
        </w:rPr>
        <w:t>CUT_ANALYSIS</w:t>
      </w:r>
      <w:r>
        <w:t xml:space="preserve"> from an argument into a measurement. It also catches errors that review would not.</w:t>
      </w:r>
    </w:p>
    <w:p>
      <w:pPr>
        <w:pStyle w:val="Heading3"/>
      </w:pPr>
      <w:r>
        <w:t>3b. What that looks like on one template</w:t>
      </w:r>
    </w:p>
    <w:p>
      <w:r>
        <w:rPr>
          <w:rFonts w:ascii="Consolas" w:hAnsi="Consolas"/>
          <w:color w:val="24292E"/>
          <w:sz w:val="19"/>
        </w:rPr>
        <w:t>bn_create_transfer_single</w:t>
      </w:r>
      <w:r>
        <w:t xml:space="preserve">, the same template in all three states. </w:t>
      </w:r>
      <w:r>
        <w:rPr>
          <w:b/>
        </w:rPr>
        <w:t>48 lines authored at A0, 32 at A1, 46 after rehydration.</w:t>
      </w:r>
    </w:p>
    <w:p>
      <w:r>
        <w:t>What the author stops writing:</w:t>
      </w:r>
    </w:p>
    <w:p>
      <w:pPr>
        <w:spacing w:after="200"/>
        <w:ind w:left="360"/>
      </w:pPr>
      <w:r>
        <w:rPr>
          <w:rFonts w:ascii="Consolas" w:hAnsi="Consolas"/>
          <w:color w:val="24292E"/>
          <w:sz w:val="17"/>
        </w:rPr>
        <w:t>mutates: true                     # &lt;- x-mutates of create_transfer</w:t>
        <w:br/>
        <w:t>call_order: strict                # &lt;- the default</w:t>
        <w:br/>
        <w:t>paraphrase: {allowed: false}      # &lt;- pack_loader already defaults it to {}</w:t>
        <w:br/>
        <w:t>assistant_milestones:</w:t>
        <w:br/>
        <w:t xml:space="preserve">  - {type: ask_confirm}           # &lt;- create_transfer has x-requires-confirmation</w:t>
        <w:br/>
        <w:t xml:space="preserve">  - type: tool_call</w:t>
        <w:br/>
        <w:t xml:space="preserve">    tool: create_transfer</w:t>
        <w:br/>
        <w:t xml:space="preserve">    args:</w:t>
        <w:br/>
        <w:t xml:space="preserve">      to_bank_code: "{to_bank_code}"   # &lt;- optional param with a same-named slot</w:t>
        <w:br/>
        <w:t xml:space="preserve">      confirm: true                    # &lt;- x-requires-confirmation</w:t>
        <w:br/>
        <w:t xml:space="preserve">  - {type: final_answer}</w:t>
        <w:br/>
        <w:t>user_simulator_turns:</w:t>
        <w:br/>
        <w:t xml:space="preserve">  - after: ask_confirm</w:t>
        <w:br/>
        <w:t xml:space="preserve">    content_template: {vi: "Tôi xác nhận thực hiện giao dịch."}</w:t>
      </w:r>
    </w:p>
    <w:p>
      <w:r>
        <w:t xml:space="preserve">What survives into the A1-authored pack is only what no schema implies: </w:t>
      </w:r>
      <w:r>
        <w:rPr>
          <w:rFonts w:ascii="Consolas" w:hAnsi="Consolas"/>
          <w:color w:val="24292E"/>
          <w:sz w:val="19"/>
        </w:rPr>
        <w:t>template_id</w:t>
      </w:r>
      <w:r>
        <w:t xml:space="preserve">, </w:t>
      </w:r>
      <w:r>
        <w:rPr>
          <w:rFonts w:ascii="Consolas" w:hAnsi="Consolas"/>
          <w:color w:val="24292E"/>
          <w:sz w:val="19"/>
        </w:rPr>
        <w:t>intent</w:t>
      </w:r>
      <w:r>
        <w:t xml:space="preserve">, </w:t>
      </w:r>
      <w:r>
        <w:rPr>
          <w:rFonts w:ascii="Consolas" w:hAnsi="Consolas"/>
          <w:color w:val="24292E"/>
          <w:sz w:val="19"/>
        </w:rPr>
        <w:t>category</w:t>
      </w:r>
      <w:r>
        <w:t xml:space="preserve">, </w:t>
      </w:r>
      <w:r>
        <w:rPr>
          <w:rFonts w:ascii="Consolas" w:hAnsi="Consolas"/>
          <w:color w:val="24292E"/>
          <w:sz w:val="19"/>
        </w:rPr>
        <w:t>difficulty</w:t>
      </w:r>
      <w:r>
        <w:t xml:space="preserve">, </w:t>
      </w:r>
      <w:r>
        <w:rPr>
          <w:rFonts w:ascii="Consolas" w:hAnsi="Consolas"/>
          <w:color w:val="24292E"/>
          <w:sz w:val="19"/>
        </w:rPr>
        <w:t>turn_policy</w:t>
      </w:r>
      <w:r>
        <w:t xml:space="preserve">, </w:t>
      </w:r>
      <w:r>
        <w:rPr>
          <w:rFonts w:ascii="Consolas" w:hAnsi="Consolas"/>
          <w:color w:val="24292E"/>
          <w:sz w:val="19"/>
        </w:rPr>
        <w:t>required_tools</w:t>
      </w:r>
      <w:r>
        <w:t xml:space="preserve">, </w:t>
      </w:r>
      <w:r>
        <w:rPr>
          <w:rFonts w:ascii="Consolas" w:hAnsi="Consolas"/>
          <w:color w:val="24292E"/>
          <w:sz w:val="19"/>
        </w:rPr>
        <w:t>tools_present</w:t>
      </w:r>
      <w:r>
        <w:t xml:space="preserve">, </w:t>
      </w:r>
      <w:r>
        <w:rPr>
          <w:rFonts w:ascii="Consolas" w:hAnsi="Consolas"/>
          <w:color w:val="24292E"/>
          <w:sz w:val="19"/>
        </w:rPr>
        <w:t>slots</w:t>
      </w:r>
      <w:r>
        <w:t xml:space="preserve"> (with their filters), </w:t>
      </w:r>
      <w:r>
        <w:rPr>
          <w:rFonts w:ascii="Consolas" w:hAnsi="Consolas"/>
          <w:color w:val="24292E"/>
          <w:sz w:val="19"/>
        </w:rPr>
        <w:t>success_assertions</w:t>
      </w:r>
      <w:r>
        <w:t xml:space="preserve">, and the opening </w:t>
      </w:r>
      <w:r>
        <w:rPr>
          <w:rFonts w:ascii="Consolas" w:hAnsi="Consolas"/>
          <w:color w:val="24292E"/>
          <w:sz w:val="19"/>
        </w:rPr>
        <w:t>user_turn_templates</w:t>
      </w:r>
      <w:r>
        <w:t xml:space="preserve"> sentence.</w:t>
      </w:r>
    </w:p>
    <w:p>
      <w:r>
        <w:t xml:space="preserve">Rehydration reproduces the block above </w:t>
      </w:r>
      <w:r>
        <w:rPr>
          <w:b/>
        </w:rPr>
        <w:t>byte-for-byte, including both `args` keys</w:t>
      </w:r>
      <w:r>
        <w:t xml:space="preserve"> — verified by the round trip, not asserted. The single difference is the simulator reply, which becomes the canonical </w:t>
      </w:r>
      <w:r>
        <w:rPr>
          <w:rFonts w:ascii="Consolas" w:hAnsi="Consolas"/>
          <w:color w:val="24292E"/>
          <w:sz w:val="19"/>
        </w:rPr>
        <w:t>"Tôi xác nhận thực hiện."</w:t>
      </w:r>
    </w:p>
    <w:p>
      <w:pPr>
        <w:pStyle w:val="Heading3"/>
      </w:pPr>
      <w:r>
        <w:t>4. It found four things the plan had wrong</w:t>
      </w:r>
    </w:p>
    <w:p>
      <w:pPr>
        <w:pStyle w:val="ListNumber"/>
      </w:pPr>
      <w:r>
        <w:rPr>
          <w:b/>
        </w:rPr>
        <w:t>`paraphrase` is not a dead field.</w:t>
      </w:r>
      <w:r>
        <w:t xml:space="preserve"> </w:t>
      </w:r>
      <w:r>
        <w:rPr>
          <w:rFonts w:ascii="Consolas" w:hAnsi="Consolas"/>
          <w:color w:val="24292E"/>
          <w:sz w:val="19"/>
        </w:rPr>
        <w:t>render.py:237</w:t>
      </w:r>
      <w:r>
        <w:t xml:space="preserve"> and </w:t>
      </w:r>
      <w:r>
        <w:rPr>
          <w:rFonts w:ascii="Consolas" w:hAnsi="Consolas"/>
          <w:color w:val="24292E"/>
          <w:sz w:val="19"/>
        </w:rPr>
        <w:t>paraphrase.py:110,425</w:t>
      </w:r>
      <w:r>
        <w:t xml:space="preserve"> read it.</w:t>
      </w:r>
    </w:p>
    <w:p>
      <w:r>
        <w:t xml:space="preserve">It is droppable because </w:t>
      </w:r>
      <w:r>
        <w:rPr>
          <w:rFonts w:ascii="Consolas" w:hAnsi="Consolas"/>
          <w:color w:val="24292E"/>
          <w:sz w:val="19"/>
        </w:rPr>
        <w:t>pack_loader.py:327</w:t>
      </w:r>
      <w:r>
        <w:t xml:space="preserve"> defaults it to </w:t>
      </w:r>
      <w:r>
        <w:rPr>
          <w:rFonts w:ascii="Consolas" w:hAnsi="Consolas"/>
          <w:color w:val="24292E"/>
          <w:sz w:val="19"/>
        </w:rPr>
        <w:t>{}</w:t>
      </w:r>
      <w:r>
        <w:t xml:space="preserve"> — not because nothing consumes it.</w:t>
      </w:r>
    </w:p>
    <w:p>
      <w:pPr>
        <w:pStyle w:val="ListNumber"/>
      </w:pPr>
      <w:r>
        <w:rPr>
          <w:b/>
        </w:rPr>
        <w:t>`primary_keys` cannot be dropped under the existing heuristic.</w:t>
      </w:r>
    </w:p>
    <w:p>
      <w:r>
        <w:rPr>
          <w:rFonts w:ascii="Consolas" w:hAnsi="Consolas"/>
          <w:color w:val="24292E"/>
          <w:sz w:val="19"/>
        </w:rPr>
        <w:t>expand.primary_key_for</w:t>
      </w:r>
      <w:r>
        <w:t xml:space="preserve"> falls back to "the single </w:t>
      </w:r>
      <w:r>
        <w:rPr>
          <w:rFonts w:ascii="Consolas" w:hAnsi="Consolas"/>
          <w:color w:val="24292E"/>
          <w:sz w:val="19"/>
        </w:rPr>
        <w:t>*_id</w:t>
      </w:r>
      <w:r>
        <w:t xml:space="preserve"> field", which resolves </w:t>
      </w:r>
      <w:r>
        <w:rPr>
          <w:rFonts w:ascii="Consolas" w:hAnsi="Consolas"/>
          <w:color w:val="24292E"/>
          <w:sz w:val="19"/>
        </w:rPr>
        <w:t>vietqr_payments</w:t>
      </w:r>
      <w:r>
        <w:t xml:space="preserve"> (key </w:t>
      </w:r>
      <w:r>
        <w:rPr>
          <w:rFonts w:ascii="Consolas" w:hAnsi="Consolas"/>
          <w:color w:val="24292E"/>
          <w:sz w:val="19"/>
        </w:rPr>
        <w:t>payment_ref</w:t>
      </w:r>
      <w:r>
        <w:t xml:space="preserve">, foreign key </w:t>
      </w:r>
      <w:r>
        <w:rPr>
          <w:rFonts w:ascii="Consolas" w:hAnsi="Consolas"/>
          <w:color w:val="24292E"/>
          <w:sz w:val="19"/>
        </w:rPr>
        <w:t>transaction_id</w:t>
      </w:r>
      <w:r>
        <w:t xml:space="preserve">) to the </w:t>
      </w:r>
      <w:r>
        <w:rPr>
          <w:b/>
        </w:rPr>
        <w:t>foreign key</w:t>
      </w:r>
      <w:r>
        <w:t>. A1 replaces the guess with a proof — unique and never null across all rows — which is what makes the field genuinely omittable.</w:t>
      </w:r>
    </w:p>
    <w:p>
      <w:pPr>
        <w:pStyle w:val="ListNumber"/>
      </w:pPr>
      <w:r>
        <w:rPr>
          <w:b/>
        </w:rPr>
        <w:t>`absent_ids` is not free to generate.</w:t>
      </w:r>
      <w:r>
        <w:t xml:space="preserve"> An absent id is a bound slot value, so it enters</w:t>
      </w:r>
    </w:p>
    <w:p>
      <w:r>
        <w:rPr>
          <w:rFonts w:ascii="Consolas" w:hAnsi="Consolas"/>
          <w:color w:val="24292E"/>
          <w:sz w:val="19"/>
        </w:rPr>
        <w:t>slot_bindings</w:t>
      </w:r>
      <w:r>
        <w:t xml:space="preserve"> and therefore the </w:t>
      </w:r>
      <w:r>
        <w:rPr>
          <w:rFonts w:ascii="Consolas" w:hAnsi="Consolas"/>
          <w:color w:val="24292E"/>
          <w:sz w:val="19"/>
        </w:rPr>
        <w:t>task_id</w:t>
      </w:r>
      <w:r>
        <w:t xml:space="preserve"> hash. Auto-generation preserves equivalence only when the generated string equals what the author wrote. It does here; that is a fact verified per pack, not a property of the derivation.</w:t>
      </w:r>
    </w:p>
    <w:p>
      <w:pPr>
        <w:pStyle w:val="ListNumber"/>
      </w:pPr>
      <w:r>
        <w:rPr>
          <w:b/>
        </w:rPr>
        <w:t>`call_order` derives in one direction only.</w:t>
      </w:r>
      <w:r>
        <w:t xml:space="preserve"> </w:t>
      </w:r>
      <w:r>
        <w:rPr>
          <w:rFonts w:ascii="Consolas" w:hAnsi="Consolas"/>
          <w:color w:val="24292E"/>
          <w:sz w:val="19"/>
        </w:rPr>
        <w:t>strict</w:t>
      </w:r>
      <w:r>
        <w:t xml:space="preserve"> is the default and drops cleanly.</w:t>
      </w:r>
    </w:p>
    <w:p>
      <w:r>
        <w:rPr>
          <w:rFonts w:ascii="Consolas" w:hAnsi="Consolas"/>
          <w:color w:val="24292E"/>
          <w:sz w:val="19"/>
        </w:rPr>
        <w:t>any</w:t>
      </w:r>
      <w:r>
        <w:t xml:space="preserve"> — </w:t>
      </w:r>
      <w:r>
        <w:rPr>
          <w:rFonts w:ascii="Consolas" w:hAnsi="Consolas"/>
          <w:color w:val="24292E"/>
          <w:sz w:val="19"/>
        </w:rPr>
        <w:t>bn_balance_and_card_parallel</w:t>
      </w:r>
      <w:r>
        <w:t xml:space="preserve"> — is a claim that two calls may be issued in one batch, which no schema carries. An earlier draft derived it wrongly and </w:t>
      </w:r>
      <w:r>
        <w:rPr>
          <w:b/>
        </w:rPr>
        <w:t>silently turned one parallel call group into two sequential ones</w:t>
      </w:r>
      <w:r>
        <w:t>; the equivalence check caught it. Eye review almost certainly would not have.</w:t>
      </w:r>
    </w:p>
    <w:p>
      <w:r>
        <w:rPr>
          <w:i/>
        </w:rPr>
        <w:t>So what:</w:t>
      </w:r>
      <w:r>
        <w:t xml:space="preserve"> #4 is the argument for keeping the equivalence check permanently. It is exactly the class of error that looks fine in a diff.</w:t>
      </w:r>
    </w:p>
    <w:p>
      <w:pPr>
        <w:pStyle w:val="Heading3"/>
      </w:pPr>
      <w:r>
        <w:t>5. Three compiler rules are untested, and the round trip cannot tell you</w:t>
      </w:r>
    </w:p>
    <w:p>
      <w:r>
        <w:t xml:space="preserve">The compiler chooses among the milestone lists </w:t>
      </w:r>
      <w:r>
        <w:rPr>
          <w:rFonts w:ascii="Consolas" w:hAnsi="Consolas"/>
          <w:color w:val="24292E"/>
          <w:sz w:val="19"/>
        </w:rPr>
        <w:t>_check_policy_shape</w:t>
      </w:r>
      <w:r>
        <w:t xml:space="preserve"> accepts, and </w:t>
      </w:r>
      <w:r>
        <w:rPr>
          <w:rFonts w:ascii="Consolas" w:hAnsi="Consolas"/>
          <w:color w:val="24292E"/>
          <w:sz w:val="19"/>
        </w:rPr>
        <w:t>banking_vn</w:t>
      </w:r>
      <w:r>
        <w:t xml:space="preserve"> does not exercise every choice. </w:t>
      </w:r>
      <w:r>
        <w:rPr>
          <w:rFonts w:ascii="Consolas" w:hAnsi="Consolas"/>
          <w:color w:val="24292E"/>
          <w:sz w:val="19"/>
        </w:rPr>
        <w:t>simplify/milestones.RULE_TABLE</w:t>
      </w:r>
      <w:r>
        <w:t xml:space="preserve"> names each rule and the templates that verify it; three have none:</w:t>
      </w:r>
    </w:p>
    <w:p>
      <w:pPr>
        <w:pStyle w:val="ListBullet"/>
      </w:pPr>
      <w:r>
        <w:rPr>
          <w:rFonts w:ascii="Consolas" w:hAnsi="Consolas"/>
          <w:color w:val="24292E"/>
          <w:sz w:val="19"/>
        </w:rPr>
        <w:t>missing_slot</w:t>
      </w:r>
      <w:r>
        <w:t xml:space="preserve"> with </w:t>
      </w:r>
      <w:r>
        <w:rPr>
          <w:b/>
        </w:rPr>
        <w:t>several</w:t>
      </w:r>
      <w:r>
        <w:t xml:space="preserve"> withheld slots (the pack withholds exactly one, anywhere)</w:t>
      </w:r>
    </w:p>
    <w:p>
      <w:pPr>
        <w:pStyle w:val="ListBullet"/>
      </w:pPr>
      <w:r>
        <w:rPr>
          <w:rFonts w:ascii="Consolas" w:hAnsi="Consolas"/>
          <w:color w:val="24292E"/>
          <w:sz w:val="19"/>
        </w:rPr>
        <w:t>confirmation</w:t>
      </w:r>
      <w:r>
        <w:t xml:space="preserve"> over a </w:t>
      </w:r>
      <w:r>
        <w:rPr>
          <w:b/>
        </w:rPr>
        <w:t>multi-call batch</w:t>
      </w:r>
      <w:r>
        <w:t xml:space="preserve"> — confirm once for the batch, or once per call?</w:t>
      </w:r>
    </w:p>
    <w:p>
      <w:pPr>
        <w:pStyle w:val="ListBullet"/>
      </w:pPr>
      <w:r>
        <w:rPr>
          <w:rFonts w:ascii="Consolas" w:hAnsi="Consolas"/>
          <w:color w:val="24292E"/>
          <w:sz w:val="19"/>
        </w:rPr>
        <w:t>dependent_call</w:t>
      </w:r>
      <w:r>
        <w:t xml:space="preserve"> with a milestone </w:t>
      </w:r>
      <w:r>
        <w:rPr>
          <w:b/>
        </w:rPr>
        <w:t>between</w:t>
      </w:r>
      <w:r>
        <w:t xml:space="preserve"> the producing and consuming call</w:t>
      </w:r>
    </w:p>
    <w:p>
      <w:r>
        <w:rPr>
          <w:i/>
        </w:rPr>
        <w:t>So what:</w:t>
      </w:r>
      <w:r>
        <w:t xml:space="preserve"> the round trip proves the rules that fire, not the rules that exist. These three compile but have never been checked against a human's intent, and the A1 report now says so rather than letting 39 </w:t>
      </w:r>
      <w:r>
        <w:rPr>
          <w:rFonts w:ascii="Consolas" w:hAnsi="Consolas"/>
          <w:color w:val="24292E"/>
          <w:sz w:val="19"/>
        </w:rPr>
        <w:t>derived_exact</w:t>
      </w:r>
      <w:r>
        <w:t xml:space="preserve"> verdicts imply full coverage.</w:t>
      </w:r>
    </w:p>
    <w:p>
      <w:pPr>
        <w:pStyle w:val="Heading3"/>
      </w:pPr>
      <w:r>
        <w:t>6. The A1/A3 boundary is now concrete</w:t>
      </w:r>
    </w:p>
    <w:p>
      <w:r>
        <w:t>Two policies need input no schema implies. Both cost one line instead of a hand-written milestone block:</w:t>
      </w:r>
    </w:p>
    <w:p>
      <w:pPr>
        <w:pStyle w:val="ListBullet"/>
      </w:pPr>
      <w:r>
        <w:rPr>
          <w:rFonts w:ascii="Consolas" w:hAnsi="Consolas"/>
          <w:color w:val="24292E"/>
          <w:sz w:val="19"/>
        </w:rPr>
        <w:t>corrects:</w:t>
      </w:r>
      <w:r>
        <w:t xml:space="preserve"> — which slot a correction replaces, and with what</w:t>
      </w:r>
    </w:p>
    <w:p>
      <w:pPr>
        <w:pStyle w:val="ListBullet"/>
      </w:pPr>
      <w:r>
        <w:rPr>
          <w:rFonts w:ascii="Consolas" w:hAnsi="Consolas"/>
          <w:color w:val="24292E"/>
          <w:sz w:val="19"/>
        </w:rPr>
        <w:t>depends_on:</w:t>
      </w:r>
      <w:r>
        <w:t xml:space="preserve"> — which argument is read from an earlier call's result, and at what path</w:t>
      </w:r>
    </w:p>
    <w:p>
      <w:r>
        <w:t>(</w:t>
      </w:r>
      <w:r>
        <w:rPr>
          <w:rFonts w:ascii="Consolas" w:hAnsi="Consolas"/>
          <w:color w:val="24292E"/>
          <w:sz w:val="19"/>
        </w:rPr>
        <w:t>transactions.0.transaction_id</w:t>
      </w:r>
      <w:r>
        <w:t xml:space="preserve"> is knowledge about the backend's response shape)</w:t>
      </w:r>
    </w:p>
    <w:p>
      <w:r>
        <w:t xml:space="preserve">Everything else the compiler fills in from </w:t>
      </w:r>
      <w:r>
        <w:rPr>
          <w:rFonts w:ascii="Consolas" w:hAnsi="Consolas"/>
          <w:color w:val="24292E"/>
          <w:sz w:val="19"/>
        </w:rPr>
        <w:t>(turn_policy, required_tools, call_order, slots, tool contract)</w:t>
      </w:r>
      <w:r>
        <w:t>.</w:t>
      </w:r>
    </w:p>
    <w:p>
      <w:r>
        <w:rPr>
          <w:i/>
        </w:rPr>
        <w:t>So what:</w:t>
      </w:r>
      <w:r>
        <w:t xml:space="preserve"> this fixes the plan's open item #3. It is also exactly the interface A3 writes against — a proposal only has to supply what is genuinely not derivable.</w:t>
      </w:r>
    </w:p>
    <w:p>
      <w:pPr>
        <w:pStyle w:val="Heading3"/>
      </w:pPr>
      <w:r>
        <w:t>7. A1 does change the wording of simulator replies</w:t>
      </w:r>
    </w:p>
    <w:p>
      <w:r>
        <w:rPr>
          <w:rFonts w:ascii="Consolas" w:hAnsi="Consolas"/>
          <w:color w:val="24292E"/>
          <w:sz w:val="19"/>
        </w:rPr>
        <w:t>user_simulator_turns</w:t>
      </w:r>
      <w:r>
        <w:t xml:space="preserve"> wording moves to pack-wide canonical templates, so </w:t>
      </w:r>
      <w:r>
        <w:rPr>
          <w:b/>
        </w:rPr>
        <w:t>8 tasks have reworded later turns</w:t>
      </w:r>
      <w:r>
        <w:t>. Opening turns are byte-identical.</w:t>
      </w:r>
    </w:p>
    <w:p>
      <w:pPr>
        <w:spacing w:after="200"/>
        <w:ind w:left="360"/>
      </w:pPr>
      <w:r>
        <w:rPr>
          <w:rFonts w:ascii="Consolas" w:hAnsi="Consolas"/>
          <w:color w:val="24292E"/>
          <w:sz w:val="17"/>
        </w:rPr>
        <w:t>baseline:  ['Cho mình xem số dư tài khoản của mình với.', 'Tài khoản ACC-001 nhé.']</w:t>
        <w:br/>
        <w:t>candidate: ['Cho mình xem số dư tài khoản của mình với.', 'ACC-001 nhé.']</w:t>
      </w:r>
    </w:p>
    <w:p>
      <w:r>
        <w:t xml:space="preserve">The equivalence check treats a changed </w:t>
      </w:r>
      <w:r>
        <w:rPr>
          <w:i/>
        </w:rPr>
        <w:t>opening</w:t>
      </w:r>
      <w:r>
        <w:t xml:space="preserve"> turn as a failure and a changed </w:t>
      </w:r>
      <w:r>
        <w:rPr>
          <w:i/>
        </w:rPr>
        <w:t>reply</w:t>
      </w:r>
      <w:r>
        <w:t xml:space="preserve"> as the intended trade.</w:t>
      </w:r>
    </w:p>
    <w:p>
      <w:r>
        <w:rPr>
          <w:i/>
        </w:rPr>
        <w:t>So what:</w:t>
      </w:r>
      <w:r>
        <w:t xml:space="preserve"> the plan's claim that A1 leaves the user surface untouched holds for the request, not for the replies. Worth stating explicitly before anyone compares A1 and A2 surfaces.</w:t>
      </w:r>
    </w:p>
    <w:p>
      <w:pPr>
        <w:spacing w:before="40"/>
      </w:pPr>
      <w:r>
        <w:rPr>
          <w:color w:val="606A76"/>
          <w:sz w:val="14"/>
        </w:rPr>
        <w:t>______________________________________________________________________________</w:t>
      </w:r>
    </w:p>
    <w:p>
      <w:pPr>
        <w:pStyle w:val="Heading2"/>
      </w:pPr>
      <w:r>
        <w:t>What is derived</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rule</w:t>
            </w:r>
          </w:p>
        </w:tc>
      </w:tr>
      <w:tr>
        <w:tc>
          <w:tcPr>
            <w:tcW w:type="dxa" w:w="4320"/>
          </w:tcPr>
          <w:p>
            <w:pPr>
              <w:jc w:val="left"/>
            </w:pPr>
            <w:r>
              <w:rPr>
                <w:sz w:val="18"/>
              </w:rPr>
            </w:r>
            <w:r>
              <w:rPr>
                <w:rFonts w:ascii="Consolas" w:hAnsi="Consolas"/>
                <w:color w:val="24292E"/>
                <w:sz w:val="18"/>
              </w:rPr>
              <w:t>manifest.paths</w:t>
            </w:r>
          </w:p>
        </w:tc>
        <w:tc>
          <w:tcPr>
            <w:tcW w:type="dxa" w:w="4320"/>
          </w:tcPr>
          <w:p>
            <w:pPr>
              <w:jc w:val="left"/>
            </w:pPr>
            <w:r>
              <w:rPr>
                <w:sz w:val="18"/>
              </w:rPr>
            </w:r>
            <w:r>
              <w:rPr>
                <w:sz w:val="18"/>
              </w:rPr>
              <w:t>filename convention</w:t>
            </w:r>
          </w:p>
        </w:tc>
      </w:tr>
      <w:tr>
        <w:tc>
          <w:tcPr>
            <w:tcW w:type="dxa" w:w="4320"/>
          </w:tcPr>
          <w:p>
            <w:pPr>
              <w:jc w:val="left"/>
            </w:pPr>
            <w:r>
              <w:rPr>
                <w:sz w:val="18"/>
              </w:rPr>
            </w:r>
            <w:r>
              <w:rPr>
                <w:rFonts w:ascii="Consolas" w:hAnsi="Consolas"/>
                <w:color w:val="24292E"/>
                <w:sz w:val="18"/>
              </w:rPr>
              <w:t>manifest.primary_keys</w:t>
            </w:r>
          </w:p>
        </w:tc>
        <w:tc>
          <w:tcPr>
            <w:tcW w:type="dxa" w:w="4320"/>
          </w:tcPr>
          <w:p>
            <w:pPr>
              <w:jc w:val="left"/>
            </w:pPr>
            <w:r>
              <w:rPr>
                <w:sz w:val="18"/>
              </w:rPr>
            </w:r>
            <w:r>
              <w:rPr>
                <w:sz w:val="18"/>
              </w:rPr>
              <w:t>the unique, never-null identifier field — proved, not guessed</w:t>
            </w:r>
          </w:p>
        </w:tc>
      </w:tr>
      <w:tr>
        <w:tc>
          <w:tcPr>
            <w:tcW w:type="dxa" w:w="4320"/>
          </w:tcPr>
          <w:p>
            <w:pPr>
              <w:jc w:val="left"/>
            </w:pPr>
            <w:r>
              <w:rPr>
                <w:sz w:val="18"/>
              </w:rPr>
            </w:r>
            <w:r>
              <w:rPr>
                <w:rFonts w:ascii="Consolas" w:hAnsi="Consolas"/>
                <w:color w:val="24292E"/>
                <w:sz w:val="18"/>
              </w:rPr>
              <w:t>manifest.absent_ids</w:t>
            </w:r>
          </w:p>
        </w:tc>
        <w:tc>
          <w:tcPr>
            <w:tcW w:type="dxa" w:w="4320"/>
          </w:tcPr>
          <w:p>
            <w:pPr>
              <w:jc w:val="left"/>
            </w:pPr>
            <w:r>
              <w:rPr>
                <w:sz w:val="18"/>
              </w:rPr>
            </w:r>
            <w:r>
              <w:rPr>
                <w:rFonts w:ascii="Consolas" w:hAnsi="Consolas"/>
                <w:color w:val="24292E"/>
                <w:sz w:val="18"/>
              </w:rPr>
              <w:t>&lt;PREFIX&gt;-ABSENT-&lt;n&gt;</w:t>
            </w:r>
            <w:r>
              <w:rPr>
                <w:sz w:val="18"/>
              </w:rPr>
              <w:t xml:space="preserve"> from the collection's own id format</w:t>
            </w:r>
          </w:p>
        </w:tc>
      </w:tr>
      <w:tr>
        <w:tc>
          <w:tcPr>
            <w:tcW w:type="dxa" w:w="4320"/>
          </w:tcPr>
          <w:p>
            <w:pPr>
              <w:jc w:val="left"/>
            </w:pPr>
            <w:r>
              <w:rPr>
                <w:sz w:val="18"/>
              </w:rPr>
            </w:r>
            <w:r>
              <w:rPr>
                <w:rFonts w:ascii="Consolas" w:hAnsi="Consolas"/>
                <w:color w:val="24292E"/>
                <w:sz w:val="18"/>
              </w:rPr>
              <w:t>assistant_milestones</w:t>
            </w:r>
          </w:p>
        </w:tc>
        <w:tc>
          <w:tcPr>
            <w:tcW w:type="dxa" w:w="4320"/>
          </w:tcPr>
          <w:p>
            <w:pPr>
              <w:jc w:val="left"/>
            </w:pPr>
            <w:r>
              <w:rPr>
                <w:sz w:val="18"/>
              </w:rPr>
            </w:r>
            <w:r>
              <w:rPr>
                <w:sz w:val="18"/>
              </w:rPr>
              <w:t>compiled from (policy, required_tools, call_order, slots, tool contract)</w:t>
            </w:r>
          </w:p>
        </w:tc>
      </w:tr>
      <w:tr>
        <w:tc>
          <w:tcPr>
            <w:tcW w:type="dxa" w:w="4320"/>
          </w:tcPr>
          <w:p>
            <w:pPr>
              <w:jc w:val="left"/>
            </w:pPr>
            <w:r>
              <w:rPr>
                <w:sz w:val="18"/>
              </w:rPr>
            </w:r>
            <w:r>
              <w:rPr>
                <w:rFonts w:ascii="Consolas" w:hAnsi="Consolas"/>
                <w:color w:val="24292E"/>
                <w:sz w:val="18"/>
              </w:rPr>
              <w:t>user_simulator_turns</w:t>
            </w:r>
          </w:p>
        </w:tc>
        <w:tc>
          <w:tcPr>
            <w:tcW w:type="dxa" w:w="4320"/>
          </w:tcPr>
          <w:p>
            <w:pPr>
              <w:jc w:val="left"/>
            </w:pPr>
            <w:r>
              <w:rPr>
                <w:sz w:val="18"/>
              </w:rPr>
            </w:r>
            <w:r>
              <w:rPr>
                <w:sz w:val="18"/>
              </w:rPr>
              <w:t>compiled shape + pack-wide canonical wording</w:t>
            </w:r>
          </w:p>
        </w:tc>
      </w:tr>
      <w:tr>
        <w:tc>
          <w:tcPr>
            <w:tcW w:type="dxa" w:w="4320"/>
          </w:tcPr>
          <w:p>
            <w:pPr>
              <w:jc w:val="left"/>
            </w:pPr>
            <w:r>
              <w:rPr>
                <w:sz w:val="18"/>
              </w:rPr>
            </w:r>
            <w:r>
              <w:rPr>
                <w:rFonts w:ascii="Consolas" w:hAnsi="Consolas"/>
                <w:color w:val="24292E"/>
                <w:sz w:val="18"/>
              </w:rPr>
              <w:t>mutates</w:t>
            </w:r>
          </w:p>
        </w:tc>
        <w:tc>
          <w:tcPr>
            <w:tcW w:type="dxa" w:w="4320"/>
          </w:tcPr>
          <w:p>
            <w:pPr>
              <w:jc w:val="left"/>
            </w:pPr>
            <w:r>
              <w:rPr>
                <w:sz w:val="18"/>
              </w:rPr>
            </w:r>
            <w:r>
              <w:rPr>
                <w:rFonts w:ascii="Consolas" w:hAnsi="Consolas"/>
                <w:color w:val="24292E"/>
                <w:sz w:val="18"/>
              </w:rPr>
              <w:t>x-mutates</w:t>
            </w:r>
            <w:r>
              <w:rPr>
                <w:sz w:val="18"/>
              </w:rPr>
              <w:t xml:space="preserve"> of the required tools</w:t>
            </w:r>
          </w:p>
        </w:tc>
      </w:tr>
      <w:tr>
        <w:tc>
          <w:tcPr>
            <w:tcW w:type="dxa" w:w="4320"/>
          </w:tcPr>
          <w:p>
            <w:pPr>
              <w:jc w:val="left"/>
            </w:pPr>
            <w:r>
              <w:rPr>
                <w:sz w:val="18"/>
              </w:rPr>
            </w:r>
            <w:r>
              <w:rPr>
                <w:rFonts w:ascii="Consolas" w:hAnsi="Consolas"/>
                <w:color w:val="24292E"/>
                <w:sz w:val="18"/>
              </w:rPr>
              <w:t>call_order: strict</w:t>
            </w:r>
          </w:p>
        </w:tc>
        <w:tc>
          <w:tcPr>
            <w:tcW w:type="dxa" w:w="4320"/>
          </w:tcPr>
          <w:p>
            <w:pPr>
              <w:jc w:val="left"/>
            </w:pPr>
            <w:r>
              <w:rPr>
                <w:sz w:val="18"/>
              </w:rPr>
            </w:r>
            <w:r>
              <w:rPr>
                <w:sz w:val="18"/>
              </w:rPr>
              <w:t>the default</w:t>
            </w:r>
          </w:p>
        </w:tc>
      </w:tr>
      <w:tr>
        <w:tc>
          <w:tcPr>
            <w:tcW w:type="dxa" w:w="4320"/>
          </w:tcPr>
          <w:p>
            <w:pPr>
              <w:jc w:val="left"/>
            </w:pPr>
            <w:r>
              <w:rPr>
                <w:sz w:val="18"/>
              </w:rPr>
            </w:r>
            <w:r>
              <w:rPr>
                <w:rFonts w:ascii="Consolas" w:hAnsi="Consolas"/>
                <w:color w:val="24292E"/>
                <w:sz w:val="18"/>
              </w:rPr>
              <w:t>paraphrase</w:t>
            </w:r>
          </w:p>
        </w:tc>
        <w:tc>
          <w:tcPr>
            <w:tcW w:type="dxa" w:w="4320"/>
          </w:tcPr>
          <w:p>
            <w:pPr>
              <w:jc w:val="left"/>
            </w:pPr>
            <w:r>
              <w:rPr>
                <w:sz w:val="18"/>
              </w:rPr>
            </w:r>
            <w:r>
              <w:rPr>
                <w:rFonts w:ascii="Consolas" w:hAnsi="Consolas"/>
                <w:color w:val="24292E"/>
                <w:sz w:val="18"/>
              </w:rPr>
              <w:t>pack_loader</w:t>
            </w:r>
            <w:r>
              <w:rPr>
                <w:sz w:val="18"/>
              </w:rPr>
              <w:t xml:space="preserve"> already defaults it to </w:t>
            </w:r>
            <w:r>
              <w:rPr>
                <w:rFonts w:ascii="Consolas" w:hAnsi="Consolas"/>
                <w:color w:val="24292E"/>
                <w:sz w:val="18"/>
              </w:rPr>
              <w:t>{}</w:t>
            </w:r>
          </w:p>
        </w:tc>
      </w:tr>
      <w:tr>
        <w:tc>
          <w:tcPr>
            <w:tcW w:type="dxa" w:w="4320"/>
          </w:tcPr>
          <w:p>
            <w:pPr>
              <w:jc w:val="left"/>
            </w:pPr>
            <w:r>
              <w:rPr>
                <w:sz w:val="18"/>
              </w:rPr>
            </w:r>
            <w:r>
              <w:rPr>
                <w:sz w:val="18"/>
              </w:rPr>
              <w:t>~22 validation cases</w:t>
            </w:r>
          </w:p>
        </w:tc>
        <w:tc>
          <w:tcPr>
            <w:tcW w:type="dxa" w:w="4320"/>
          </w:tcPr>
          <w:p>
            <w:pPr>
              <w:jc w:val="left"/>
            </w:pPr>
            <w:r>
              <w:rPr>
                <w:sz w:val="18"/>
              </w:rPr>
            </w:r>
            <w:r>
              <w:rPr>
                <w:sz w:val="18"/>
              </w:rPr>
              <w:t xml:space="preserve">success + not-found per tool; unconfirmed and mis-typed </w:t>
            </w:r>
            <w:r>
              <w:rPr>
                <w:rFonts w:ascii="Consolas" w:hAnsi="Consolas"/>
                <w:color w:val="24292E"/>
                <w:sz w:val="18"/>
              </w:rPr>
              <w:t>confirm</w:t>
            </w:r>
            <w:r>
              <w:rPr>
                <w:sz w:val="18"/>
              </w:rPr>
              <w:t xml:space="preserve"> for confirming tools</w:t>
            </w:r>
          </w:p>
        </w:tc>
      </w:tr>
      <w:tr>
        <w:tc>
          <w:tcPr>
            <w:tcW w:type="dxa" w:w="4320"/>
          </w:tcPr>
          <w:p>
            <w:pPr>
              <w:jc w:val="left"/>
            </w:pPr>
            <w:r>
              <w:rPr>
                <w:sz w:val="18"/>
              </w:rPr>
            </w:r>
            <w:r>
              <w:rPr>
                <w:sz w:val="18"/>
              </w:rPr>
              <w:t>26 config lines</w:t>
            </w:r>
          </w:p>
        </w:tc>
        <w:tc>
          <w:tcPr>
            <w:tcW w:type="dxa" w:w="4320"/>
          </w:tcPr>
          <w:p>
            <w:pPr>
              <w:jc w:val="left"/>
            </w:pPr>
            <w:r>
              <w:rPr>
                <w:sz w:val="18"/>
              </w:rPr>
            </w:r>
            <w:r>
              <w:rPr>
                <w:sz w:val="18"/>
              </w:rPr>
              <w:t>settings that only restate a default</w:t>
            </w:r>
          </w:p>
        </w:tc>
      </w:tr>
    </w:tbl>
    <w:p/>
    <w:p>
      <w:r>
        <w:t xml:space="preserve">The milestone compiler inverts </w:t>
      </w:r>
      <w:r>
        <w:rPr>
          <w:rFonts w:ascii="Consolas" w:hAnsi="Consolas"/>
          <w:color w:val="24292E"/>
          <w:sz w:val="19"/>
        </w:rPr>
        <w:t>state_machine._check_policy_shape</w:t>
      </w:r>
      <w:r>
        <w:t>, which already encodes the structural constraint per policy. It is not a new design — it is the existing validator run backwards, against a rule table the validator already tests.</w:t>
      </w:r>
    </w:p>
    <w:p>
      <w:pPr>
        <w:pStyle w:val="Heading2"/>
      </w:pPr>
      <w:r>
        <w:t>Limitations</w:t>
      </w:r>
    </w:p>
    <w:p>
      <w:pPr>
        <w:pStyle w:val="ListBullet"/>
      </w:pPr>
      <w:r>
        <w:rPr>
          <w:b/>
        </w:rPr>
        <w:t>Config minimization is verified by execution, not by parsing.</w:t>
      </w:r>
      <w:r>
        <w:t xml:space="preserve"> Twelve settings load fine</w:t>
      </w:r>
    </w:p>
    <w:p>
      <w:r>
        <w:t xml:space="preserve">individually; the minimized config was then </w:t>
      </w:r>
      <w:r>
        <w:rPr>
          <w:i/>
        </w:rPr>
        <w:t>run</w:t>
      </w:r>
      <w:r>
        <w:t xml:space="preserve"> and compared, because "it still parses" is not the claim being made. It is kept as a separate sub-arm so a divergence names one cause.</w:t>
      </w:r>
    </w:p>
    <w:p>
      <w:pPr>
        <w:pStyle w:val="ListBullet"/>
      </w:pPr>
      <w:r>
        <w:rPr>
          <w:b/>
        </w:rPr>
        <w:t>`absent_ids` equivalence is pack-specific</w:t>
      </w:r>
      <w:r>
        <w:t xml:space="preserve"> (insight 3). A pack whose author used a</w:t>
      </w:r>
    </w:p>
    <w:p>
      <w:r>
        <w:t>different naming convention would diverge, and the check would catch it — but the derivation is not universally safe.</w:t>
      </w:r>
    </w:p>
    <w:p>
      <w:pPr>
        <w:pStyle w:val="ListBullet"/>
      </w:pPr>
      <w:r>
        <w:t xml:space="preserve">LOC is measured on the </w:t>
      </w:r>
      <w:r>
        <w:rPr>
          <w:i/>
        </w:rPr>
        <w:t>authored</w:t>
      </w:r>
      <w:r>
        <w:t xml:space="preserve"> pack, not the rehydrated one. Counting the rehydrated pack</w:t>
      </w:r>
    </w:p>
    <w:p>
      <w:r>
        <w:t>would report zero saving.</w:t>
      </w:r>
    </w:p>
    <w:p>
      <w:pPr>
        <w:pStyle w:val="Heading2"/>
      </w:pPr>
      <w:r>
        <w:t>Artifacts</w:t>
      </w:r>
    </w:p>
    <w:p>
      <w:r>
        <w:rPr>
          <w:rFonts w:ascii="Consolas" w:hAnsi="Consolas"/>
          <w:color w:val="24292E"/>
          <w:sz w:val="19"/>
        </w:rPr>
        <w:t>results/A1/report.md</w:t>
      </w:r>
      <w:r>
        <w:t xml:space="preserve">, </w:t>
      </w:r>
      <w:r>
        <w:rPr>
          <w:rFonts w:ascii="Consolas" w:hAnsi="Consolas"/>
          <w:color w:val="24292E"/>
          <w:sz w:val="19"/>
        </w:rPr>
        <w:t>results/A1/metrics.json</w:t>
      </w:r>
      <w:r>
        <w:t xml:space="preserve">, </w:t>
      </w:r>
      <w:r>
        <w:rPr>
          <w:rFonts w:ascii="Consolas" w:hAnsi="Consolas"/>
          <w:color w:val="24292E"/>
          <w:sz w:val="19"/>
        </w:rPr>
        <w:t>results/A1/vs_a0_equivalence.json</w:t>
      </w:r>
      <w:r>
        <w:t xml:space="preserve">, </w:t>
      </w:r>
      <w:r>
        <w:rPr>
          <w:rFonts w:ascii="Consolas" w:hAnsi="Consolas"/>
          <w:color w:val="24292E"/>
          <w:sz w:val="19"/>
        </w:rPr>
        <w:t>_generated/packs/a1_authored/</w:t>
      </w:r>
      <w:r>
        <w:t xml:space="preserve"> (what a user now writes), </w:t>
      </w:r>
      <w:r>
        <w:rPr>
          <w:rFonts w:ascii="Consolas" w:hAnsi="Consolas"/>
          <w:color w:val="24292E"/>
          <w:sz w:val="19"/>
        </w:rPr>
        <w:t>_generated/packs/a1_full/</w:t>
      </w:r>
      <w:r>
        <w:t xml:space="preserve"> (what the pipeline reads)</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Authoring cost, A0 against A1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file</w:t>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saved</w:t>
            </w:r>
          </w:p>
        </w:tc>
      </w:tr>
      <w:tr>
        <w:tc>
          <w:tcPr>
            <w:tcW w:type="dxa" w:w="2160"/>
          </w:tcPr>
          <w:p>
            <w:pPr>
              <w:jc w:val="left"/>
            </w:pPr>
            <w:r>
              <w:rPr>
                <w:sz w:val="18"/>
              </w:rPr>
            </w:r>
            <w:r>
              <w:rPr>
                <w:sz w:val="18"/>
              </w:rPr>
              <w:t>TOTAL</w:t>
            </w:r>
          </w:p>
        </w:tc>
        <w:tc>
          <w:tcPr>
            <w:tcW w:type="dxa" w:w="2160"/>
          </w:tcPr>
          <w:p>
            <w:pPr>
              <w:jc w:val="right"/>
            </w:pPr>
            <w:r>
              <w:rPr>
                <w:sz w:val="18"/>
              </w:rPr>
            </w:r>
            <w:r>
              <w:rPr>
                <w:sz w:val="18"/>
              </w:rPr>
              <w:t>1642</w:t>
            </w:r>
          </w:p>
        </w:tc>
        <w:tc>
          <w:tcPr>
            <w:tcW w:type="dxa" w:w="2160"/>
          </w:tcPr>
          <w:p>
            <w:pPr>
              <w:jc w:val="right"/>
            </w:pPr>
            <w:r>
              <w:rPr>
                <w:sz w:val="18"/>
              </w:rPr>
            </w:r>
            <w:r>
              <w:rPr>
                <w:sz w:val="18"/>
              </w:rPr>
              <w:t>1412</w:t>
            </w:r>
          </w:p>
        </w:tc>
        <w:tc>
          <w:tcPr>
            <w:tcW w:type="dxa" w:w="2160"/>
          </w:tcPr>
          <w:p>
            <w:pPr>
              <w:jc w:val="right"/>
            </w:pPr>
            <w:r>
              <w:rPr>
                <w:sz w:val="18"/>
              </w:rPr>
            </w:r>
            <w:r>
              <w:rPr>
                <w:sz w:val="18"/>
              </w:rPr>
              <w:t>230</w:t>
            </w:r>
          </w:p>
        </w:tc>
      </w:tr>
      <w:tr>
        <w:tc>
          <w:tcPr>
            <w:tcW w:type="dxa" w:w="2160"/>
          </w:tcPr>
          <w:p>
            <w:pPr>
              <w:jc w:val="left"/>
            </w:pPr>
            <w:r>
              <w:rPr>
                <w:sz w:val="18"/>
              </w:rPr>
            </w:r>
            <w:r>
              <w:rPr>
                <w:sz w:val="18"/>
              </w:rPr>
              <w:t>assertions.py</w:t>
            </w:r>
          </w:p>
        </w:tc>
        <w:tc>
          <w:tcPr>
            <w:tcW w:type="dxa" w:w="2160"/>
          </w:tcPr>
          <w:p>
            <w:pPr>
              <w:jc w:val="right"/>
            </w:pPr>
            <w:r>
              <w:rPr>
                <w:sz w:val="18"/>
              </w:rPr>
            </w:r>
            <w:r>
              <w:rPr>
                <w:sz w:val="18"/>
              </w:rPr>
              <w:t>182</w:t>
            </w:r>
          </w:p>
        </w:tc>
        <w:tc>
          <w:tcPr>
            <w:tcW w:type="dxa" w:w="2160"/>
          </w:tcPr>
          <w:p>
            <w:pPr>
              <w:jc w:val="right"/>
            </w:pPr>
            <w:r>
              <w:rPr>
                <w:sz w:val="18"/>
              </w:rPr>
            </w:r>
            <w:r>
              <w:rPr>
                <w:sz w:val="18"/>
              </w:rPr>
              <w:t>182</w:t>
            </w:r>
          </w:p>
        </w:tc>
        <w:tc>
          <w:tcPr>
            <w:tcW w:type="dxa" w:w="2160"/>
          </w:tcPr>
          <w:p>
            <w:pPr>
              <w:jc w:val="right"/>
            </w:pPr>
            <w:r>
              <w:rPr>
                <w:sz w:val="18"/>
              </w:rPr>
            </w:r>
            <w:r>
              <w:rPr>
                <w:sz w:val="18"/>
              </w:rPr>
              <w:t>0</w:t>
            </w:r>
          </w:p>
        </w:tc>
      </w:tr>
      <w:tr>
        <w:tc>
          <w:tcPr>
            <w:tcW w:type="dxa" w:w="2160"/>
          </w:tcPr>
          <w:p>
            <w:pPr>
              <w:jc w:val="left"/>
            </w:pPr>
            <w:r>
              <w:rPr>
                <w:sz w:val="18"/>
              </w:rPr>
            </w:r>
            <w:r>
              <w:rPr>
                <w:sz w:val="18"/>
              </w:rPr>
              <w:t>backend.py</w:t>
            </w:r>
          </w:p>
        </w:tc>
        <w:tc>
          <w:tcPr>
            <w:tcW w:type="dxa" w:w="2160"/>
          </w:tcPr>
          <w:p>
            <w:pPr>
              <w:jc w:val="right"/>
            </w:pPr>
            <w:r>
              <w:rPr>
                <w:sz w:val="18"/>
              </w:rPr>
            </w:r>
            <w:r>
              <w:rPr>
                <w:sz w:val="18"/>
              </w:rPr>
              <w:t>465</w:t>
            </w:r>
          </w:p>
        </w:tc>
        <w:tc>
          <w:tcPr>
            <w:tcW w:type="dxa" w:w="2160"/>
          </w:tcPr>
          <w:p>
            <w:pPr>
              <w:jc w:val="right"/>
            </w:pPr>
            <w:r>
              <w:rPr>
                <w:sz w:val="18"/>
              </w:rPr>
            </w:r>
            <w:r>
              <w:rPr>
                <w:sz w:val="18"/>
              </w:rPr>
              <w:t>465</w:t>
            </w:r>
          </w:p>
        </w:tc>
        <w:tc>
          <w:tcPr>
            <w:tcW w:type="dxa" w:w="2160"/>
          </w:tcPr>
          <w:p>
            <w:pPr>
              <w:jc w:val="right"/>
            </w:pPr>
            <w:r>
              <w:rPr>
                <w:sz w:val="18"/>
              </w:rPr>
            </w:r>
            <w:r>
              <w:rPr>
                <w:sz w:val="18"/>
              </w:rPr>
              <w:t>0</w:t>
            </w:r>
          </w:p>
        </w:tc>
      </w:tr>
      <w:tr>
        <w:tc>
          <w:tcPr>
            <w:tcW w:type="dxa" w:w="2160"/>
          </w:tcPr>
          <w:p>
            <w:pPr>
              <w:jc w:val="left"/>
            </w:pPr>
            <w:r>
              <w:rPr>
                <w:sz w:val="18"/>
              </w:rPr>
            </w:r>
            <w:r>
              <w:rPr>
                <w:sz w:val="18"/>
              </w:rPr>
              <w:t>fixtures.json</w:t>
            </w:r>
          </w:p>
        </w:tc>
        <w:tc>
          <w:tcPr>
            <w:tcW w:type="dxa" w:w="2160"/>
          </w:tcPr>
          <w:p>
            <w:pPr>
              <w:jc w:val="right"/>
            </w:pPr>
            <w:r>
              <w:rPr>
                <w:sz w:val="18"/>
              </w:rPr>
            </w:r>
            <w:r>
              <w:rPr>
                <w:sz w:val="18"/>
              </w:rPr>
              <w:t>68</w:t>
            </w:r>
          </w:p>
        </w:tc>
        <w:tc>
          <w:tcPr>
            <w:tcW w:type="dxa" w:w="2160"/>
          </w:tcPr>
          <w:p>
            <w:pPr>
              <w:jc w:val="right"/>
            </w:pPr>
            <w:r>
              <w:rPr>
                <w:sz w:val="18"/>
              </w:rPr>
            </w:r>
            <w:r>
              <w:rPr>
                <w:sz w:val="18"/>
              </w:rPr>
              <w:t>68</w:t>
            </w:r>
          </w:p>
        </w:tc>
        <w:tc>
          <w:tcPr>
            <w:tcW w:type="dxa" w:w="2160"/>
          </w:tcPr>
          <w:p>
            <w:pPr>
              <w:jc w:val="right"/>
            </w:pPr>
            <w:r>
              <w:rPr>
                <w:sz w:val="18"/>
              </w:rPr>
            </w:r>
            <w:r>
              <w:rPr>
                <w:sz w:val="18"/>
              </w:rPr>
              <w:t>0</w:t>
            </w:r>
          </w:p>
        </w:tc>
      </w:tr>
      <w:tr>
        <w:tc>
          <w:tcPr>
            <w:tcW w:type="dxa" w:w="2160"/>
          </w:tcPr>
          <w:p>
            <w:pPr>
              <w:jc w:val="left"/>
            </w:pPr>
            <w:r>
              <w:rPr>
                <w:sz w:val="18"/>
              </w:rPr>
            </w:r>
            <w:r>
              <w:rPr>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22</w:t>
            </w:r>
          </w:p>
        </w:tc>
      </w:tr>
      <w:tr>
        <w:tc>
          <w:tcPr>
            <w:tcW w:type="dxa" w:w="2160"/>
          </w:tcPr>
          <w:p>
            <w:pPr>
              <w:jc w:val="left"/>
            </w:pPr>
            <w:r>
              <w:rPr>
                <w:sz w:val="18"/>
              </w:rPr>
            </w:r>
            <w:r>
              <w:rPr>
                <w:sz w:val="18"/>
              </w:rPr>
              <w:t>run_config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sz w:val="18"/>
              </w:rPr>
              <w:t>0</w:t>
            </w:r>
          </w:p>
        </w:tc>
      </w:tr>
      <w:tr>
        <w:tc>
          <w:tcPr>
            <w:tcW w:type="dxa" w:w="2160"/>
          </w:tcPr>
          <w:p>
            <w:pPr>
              <w:jc w:val="left"/>
            </w:pPr>
            <w:r>
              <w:rPr>
                <w:sz w:val="18"/>
              </w:rPr>
            </w:r>
            <w:r>
              <w:rPr>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80</w:t>
            </w:r>
          </w:p>
        </w:tc>
      </w:tr>
      <w:tr>
        <w:tc>
          <w:tcPr>
            <w:tcW w:type="dxa" w:w="2160"/>
          </w:tcPr>
          <w:p>
            <w:pPr>
              <w:jc w:val="left"/>
            </w:pPr>
            <w:r>
              <w:rPr>
                <w:sz w:val="18"/>
              </w:rPr>
            </w:r>
            <w:r>
              <w:rPr>
                <w:sz w:val="18"/>
              </w:rPr>
              <w:t>tools.json</w:t>
            </w:r>
          </w:p>
        </w:tc>
        <w:tc>
          <w:tcPr>
            <w:tcW w:type="dxa" w:w="2160"/>
          </w:tcPr>
          <w:p>
            <w:pPr>
              <w:jc w:val="right"/>
            </w:pPr>
            <w:r>
              <w:rPr>
                <w:sz w:val="18"/>
              </w:rPr>
            </w:r>
            <w:r>
              <w:rPr>
                <w:sz w:val="18"/>
              </w:rPr>
              <w:t>162</w:t>
            </w:r>
          </w:p>
        </w:tc>
        <w:tc>
          <w:tcPr>
            <w:tcW w:type="dxa" w:w="2160"/>
          </w:tcPr>
          <w:p>
            <w:pPr>
              <w:jc w:val="right"/>
            </w:pPr>
            <w:r>
              <w:rPr>
                <w:sz w:val="18"/>
              </w:rPr>
            </w:r>
            <w:r>
              <w:rPr>
                <w:sz w:val="18"/>
              </w:rPr>
              <w:t>162</w:t>
            </w:r>
          </w:p>
        </w:tc>
        <w:tc>
          <w:tcPr>
            <w:tcW w:type="dxa" w:w="2160"/>
          </w:tcPr>
          <w:p>
            <w:pPr>
              <w:jc w:val="right"/>
            </w:pPr>
            <w:r>
              <w:rPr>
                <w:sz w:val="18"/>
              </w:rPr>
            </w:r>
            <w:r>
              <w:rPr>
                <w:sz w:val="18"/>
              </w:rPr>
              <w:t>0</w:t>
            </w:r>
          </w:p>
        </w:tc>
      </w:tr>
      <w:tr>
        <w:tc>
          <w:tcPr>
            <w:tcW w:type="dxa" w:w="2160"/>
          </w:tcPr>
          <w:p>
            <w:pPr>
              <w:jc w:val="left"/>
            </w:pPr>
            <w:r>
              <w:rPr>
                <w:sz w:val="18"/>
              </w:rPr>
            </w:r>
            <w:r>
              <w:rPr>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128</w:t>
            </w:r>
          </w:p>
        </w:tc>
      </w:tr>
    </w:tbl>
    <w:p/>
    <w:p>
      <w:pPr>
        <w:pStyle w:val="Heading3"/>
      </w:pPr>
      <w:r>
        <w:t>A.2 Shrink summary by field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derived_exact</w:t>
            </w:r>
          </w:p>
        </w:tc>
        <w:tc>
          <w:tcPr>
            <w:tcW w:type="dxa" w:w="2160"/>
          </w:tcPr>
          <w:p>
            <w:pPr>
              <w:jc w:val="right"/>
            </w:pPr>
            <w:r>
              <w:rPr>
                <w:b/>
                <w:sz w:val="18"/>
              </w:rPr>
            </w:r>
            <w:r>
              <w:rPr>
                <w:b/>
                <w:sz w:val="18"/>
              </w:rPr>
              <w:t>surface_changed</w:t>
            </w:r>
          </w:p>
        </w:tc>
        <w:tc>
          <w:tcPr>
            <w:tcW w:type="dxa" w:w="2160"/>
          </w:tcPr>
          <w:p>
            <w:pPr>
              <w:jc w:val="right"/>
            </w:pPr>
            <w:r>
              <w:rPr>
                <w:b/>
                <w:sz w:val="18"/>
              </w:rPr>
            </w:r>
            <w:r>
              <w:rPr>
                <w:b/>
                <w:sz w:val="18"/>
              </w:rPr>
              <w:t>not_derivable</w:t>
            </w:r>
          </w:p>
        </w:tc>
      </w:tr>
      <w:tr>
        <w:tc>
          <w:tcPr>
            <w:tcW w:type="dxa" w:w="2160"/>
          </w:tcPr>
          <w:p>
            <w:pPr>
              <w:jc w:val="left"/>
            </w:pPr>
            <w:r>
              <w:rPr>
                <w:sz w:val="18"/>
              </w:rPr>
            </w:r>
            <w:r>
              <w:rPr>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sz w:val="18"/>
              </w:rPr>
              <w:t>1</w:t>
            </w:r>
          </w:p>
        </w:tc>
      </w:tr>
      <w:tr>
        <w:tc>
          <w:tcPr>
            <w:tcW w:type="dxa" w:w="2160"/>
          </w:tcPr>
          <w:p>
            <w:pPr>
              <w:jc w:val="left"/>
            </w:pPr>
            <w:r>
              <w:rPr>
                <w:sz w:val="18"/>
              </w:rPr>
            </w:r>
            <w:r>
              <w:rPr>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pPr>
        <w:pStyle w:val="Heading3"/>
      </w:pPr>
      <w:r>
        <w:t>A.3 Field-level derivability verdicts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where</w:t>
            </w:r>
          </w:p>
        </w:tc>
        <w:tc>
          <w:tcPr>
            <w:tcW w:type="dxa" w:w="2160"/>
          </w:tcPr>
          <w:p>
            <w:pPr>
              <w:jc w:val="right"/>
            </w:pPr>
            <w:r>
              <w:rPr>
                <w:b/>
                <w:sz w:val="18"/>
              </w:rPr>
            </w:r>
            <w:r>
              <w:rPr>
                <w:b/>
                <w:sz w:val="18"/>
              </w:rPr>
              <w:t>field</w:t>
            </w:r>
          </w:p>
        </w:tc>
        <w:tc>
          <w:tcPr>
            <w:tcW w:type="dxa" w:w="2160"/>
          </w:tcPr>
          <w:p>
            <w:pPr>
              <w:jc w:val="right"/>
            </w:pPr>
            <w:r>
              <w:rPr>
                <w:b/>
                <w:sz w:val="18"/>
              </w:rPr>
            </w:r>
            <w:r>
              <w:rPr>
                <w:b/>
                <w:sz w:val="18"/>
              </w:rPr>
              <w:t>verdict</w:t>
            </w:r>
          </w:p>
        </w:tc>
        <w:tc>
          <w:tcPr>
            <w:tcW w:type="dxa" w:w="2160"/>
          </w:tcPr>
          <w:p>
            <w:pPr>
              <w:jc w:val="right"/>
            </w:pPr>
            <w:r>
              <w:rPr>
                <w:b/>
                <w:sz w:val="18"/>
              </w:rPr>
            </w:r>
            <w:r>
              <w:rPr>
                <w:b/>
                <w:sz w:val="18"/>
              </w:rPr>
              <w:t>detail</w:t>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call_order</w:t>
            </w:r>
          </w:p>
        </w:tc>
        <w:tc>
          <w:tcPr>
            <w:tcW w:type="dxa" w:w="2160"/>
          </w:tcPr>
          <w:p>
            <w:pPr>
              <w:jc w:val="right"/>
            </w:pPr>
            <w:r>
              <w:rPr>
                <w:sz w:val="18"/>
              </w:rPr>
            </w:r>
            <w:r>
              <w:rPr>
                <w:sz w:val="18"/>
              </w:rPr>
              <w:t>not_derivable</w:t>
            </w:r>
          </w:p>
        </w:tc>
        <w:tc>
          <w:tcPr>
            <w:tcW w:type="dxa" w:w="2160"/>
          </w:tcPr>
          <w:p>
            <w:pPr>
              <w:jc w:val="right"/>
            </w:pPr>
            <w:r>
              <w:rPr>
                <w:sz w:val="18"/>
              </w:rPr>
            </w:r>
            <w:r>
              <w:rPr>
                <w:sz w:val="18"/>
              </w:rPr>
              <w:t>authored="any" derived="strict"</w:t>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paths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primary_keys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"account_id", "cards": "card_id", "disputes": "dispute_id", "transactions": "transaction_id", "vietqr_payme</w:t>
            </w:r>
          </w:p>
        </w:tc>
      </w:tr>
      <w:tr>
        <w:tc>
          <w:tcPr>
            <w:tcW w:type="dxa" w:w="2160"/>
          </w:tcPr>
          <w:p>
            <w:pPr>
              <w:jc w:val="left"/>
            </w:pPr>
            <w:r>
              <w:rPr>
                <w:sz w:val="18"/>
              </w:rPr>
            </w:r>
            <w:r>
              <w:rPr>
                <w:sz w:val="18"/>
              </w:rPr>
              <w:t>manifest</w:t>
            </w:r>
          </w:p>
        </w:tc>
        <w:tc>
          <w:tcPr>
            <w:tcW w:type="dxa" w:w="2160"/>
          </w:tcPr>
          <w:p>
            <w:pPr>
              <w:jc w:val="right"/>
            </w:pPr>
            <w:r>
              <w:rPr>
                <w:sz w:val="18"/>
              </w:rPr>
            </w:r>
            <w:r>
              <w:rPr>
                <w:sz w:val="18"/>
              </w:rPr>
              <w:t>absent_ids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["ACC-ABSENT-1"], "cards": ["CARD-ABSENT-1"], "disputes": ["DSP-ABSENT-1"], "transactions": ["TXN-ABSENT-1"</w:t>
            </w:r>
          </w:p>
        </w:tc>
      </w:tr>
    </w:tbl>
    <w:p/>
    <w:p>
      <w:pPr>
        <w:pStyle w:val="Heading3"/>
      </w:pPr>
      <w:r>
        <w:t>A.4 Equivalence checks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right"/>
            </w:pPr>
            <w:r>
              <w:rPr>
                <w:b/>
                <w:sz w:val="18"/>
              </w:rPr>
            </w:r>
            <w:r>
              <w:rPr>
                <w:b/>
                <w:sz w:val="18"/>
              </w:rPr>
              <w:t>result</w:t>
            </w:r>
          </w:p>
        </w:tc>
      </w:tr>
      <w:tr>
        <w:tc>
          <w:tcPr>
            <w:tcW w:type="dxa" w:w="4320"/>
          </w:tcPr>
          <w:p>
            <w:pPr>
              <w:jc w:val="left"/>
            </w:pPr>
            <w:r>
              <w:rPr>
                <w:sz w:val="18"/>
              </w:rPr>
            </w:r>
            <w:r>
              <w:rPr>
                <w:sz w:val="18"/>
              </w:rPr>
              <w:t>set(task_id) equal</w:t>
            </w:r>
          </w:p>
        </w:tc>
        <w:tc>
          <w:tcPr>
            <w:tcW w:type="dxa" w:w="4320"/>
          </w:tcPr>
          <w:p>
            <w:pPr>
              <w:jc w:val="right"/>
            </w:pPr>
            <w:r>
              <w:rPr>
                <w:sz w:val="18"/>
              </w:rPr>
            </w:r>
            <w:r>
              <w:rPr>
                <w:sz w:val="18"/>
              </w:rPr>
              <w:t>True</w:t>
            </w:r>
          </w:p>
        </w:tc>
      </w:tr>
      <w:tr>
        <w:tc>
          <w:tcPr>
            <w:tcW w:type="dxa" w:w="4320"/>
          </w:tcPr>
          <w:p>
            <w:pPr>
              <w:jc w:val="left"/>
            </w:pPr>
            <w:r>
              <w:rPr>
                <w:sz w:val="18"/>
              </w:rPr>
            </w:r>
            <w:r>
              <w:rPr>
                <w:sz w:val="18"/>
              </w:rPr>
              <w:t>expected_tool_calls equal</w:t>
            </w:r>
          </w:p>
        </w:tc>
        <w:tc>
          <w:tcPr>
            <w:tcW w:type="dxa" w:w="4320"/>
          </w:tcPr>
          <w:p>
            <w:pPr>
              <w:jc w:val="right"/>
            </w:pPr>
            <w:r>
              <w:rPr>
                <w:sz w:val="18"/>
              </w:rPr>
            </w:r>
            <w:r>
              <w:rPr>
                <w:sz w:val="18"/>
              </w:rPr>
              <w:t>True</w:t>
            </w:r>
          </w:p>
        </w:tc>
      </w:tr>
      <w:tr>
        <w:tc>
          <w:tcPr>
            <w:tcW w:type="dxa" w:w="4320"/>
          </w:tcPr>
          <w:p>
            <w:pPr>
              <w:jc w:val="left"/>
            </w:pPr>
            <w:r>
              <w:rPr>
                <w:sz w:val="18"/>
              </w:rPr>
            </w:r>
            <w:r>
              <w:rPr>
                <w:sz w:val="18"/>
              </w:rPr>
              <w:t>conversation_plans equal</w:t>
            </w:r>
          </w:p>
        </w:tc>
        <w:tc>
          <w:tcPr>
            <w:tcW w:type="dxa" w:w="4320"/>
          </w:tcPr>
          <w:p>
            <w:pPr>
              <w:jc w:val="right"/>
            </w:pPr>
            <w:r>
              <w:rPr>
                <w:sz w:val="18"/>
              </w:rPr>
            </w:r>
            <w:r>
              <w:rPr>
                <w:sz w:val="18"/>
              </w:rPr>
              <w:t>True</w:t>
            </w:r>
          </w:p>
        </w:tc>
      </w:tr>
      <w:tr>
        <w:tc>
          <w:tcPr>
            <w:tcW w:type="dxa" w:w="4320"/>
          </w:tcPr>
          <w:p>
            <w:pPr>
              <w:jc w:val="left"/>
            </w:pPr>
            <w:r>
              <w:rPr>
                <w:sz w:val="18"/>
              </w:rPr>
            </w:r>
            <w:r>
              <w:rPr>
                <w:sz w:val="18"/>
              </w:rPr>
              <w:t>validation-case coverage held</w:t>
            </w:r>
          </w:p>
        </w:tc>
        <w:tc>
          <w:tcPr>
            <w:tcW w:type="dxa" w:w="4320"/>
          </w:tcPr>
          <w:p>
            <w:pPr>
              <w:jc w:val="right"/>
            </w:pPr>
            <w:r>
              <w:rPr>
                <w:sz w:val="18"/>
              </w:rPr>
            </w:r>
            <w:r>
              <w:rPr>
                <w:sz w:val="18"/>
              </w:rPr>
              <w:t>True</w:t>
            </w:r>
          </w:p>
        </w:tc>
      </w:tr>
      <w:tr>
        <w:tc>
          <w:tcPr>
            <w:tcW w:type="dxa" w:w="4320"/>
          </w:tcPr>
          <w:p>
            <w:pPr>
              <w:jc w:val="left"/>
            </w:pPr>
            <w:r>
              <w:rPr>
                <w:sz w:val="18"/>
              </w:rPr>
            </w:r>
            <w:r>
              <w:rPr>
                <w:sz w:val="18"/>
              </w:rPr>
              <w:t>opening user turn identical</w:t>
            </w:r>
          </w:p>
        </w:tc>
        <w:tc>
          <w:tcPr>
            <w:tcW w:type="dxa" w:w="4320"/>
          </w:tcPr>
          <w:p>
            <w:pPr>
              <w:jc w:val="right"/>
            </w:pPr>
            <w:r>
              <w:rPr>
                <w:sz w:val="18"/>
              </w:rPr>
            </w:r>
            <w:r>
              <w:rPr>
                <w:sz w:val="18"/>
              </w:rPr>
              <w:t>True</w:t>
            </w:r>
          </w:p>
        </w:tc>
      </w:tr>
      <w:tr>
        <w:tc>
          <w:tcPr>
            <w:tcW w:type="dxa" w:w="4320"/>
          </w:tcPr>
          <w:p>
            <w:pPr>
              <w:jc w:val="left"/>
            </w:pPr>
            <w:r>
              <w:rPr>
                <w:sz w:val="18"/>
              </w:rPr>
            </w:r>
            <w:r>
              <w:rPr>
                <w:sz w:val="18"/>
              </w:rPr>
              <w:t>gold eligibility preserved</w:t>
            </w:r>
          </w:p>
        </w:tc>
        <w:tc>
          <w:tcPr>
            <w:tcW w:type="dxa" w:w="4320"/>
          </w:tcPr>
          <w:p>
            <w:pPr>
              <w:jc w:val="right"/>
            </w:pPr>
            <w:r>
              <w:rPr>
                <w:sz w:val="18"/>
              </w:rPr>
            </w:r>
            <w:r>
              <w:rPr>
                <w:sz w:val="18"/>
              </w:rPr>
              <w:t>True</w:t>
            </w:r>
          </w:p>
        </w:tc>
      </w:tr>
      <w:tr>
        <w:tc>
          <w:tcPr>
            <w:tcW w:type="dxa" w:w="4320"/>
          </w:tcPr>
          <w:p>
            <w:pPr>
              <w:jc w:val="left"/>
            </w:pPr>
            <w:r>
              <w:rPr>
                <w:sz w:val="18"/>
              </w:rPr>
            </w:r>
            <w:r>
              <w:rPr>
                <w:sz w:val="18"/>
              </w:rPr>
              <w:t>VERDICT</w:t>
            </w:r>
          </w:p>
        </w:tc>
        <w:tc>
          <w:tcPr>
            <w:tcW w:type="dxa" w:w="4320"/>
          </w:tcPr>
          <w:p>
            <w:pPr>
              <w:jc w:val="right"/>
            </w:pPr>
            <w:r>
              <w:rPr>
                <w:sz w:val="18"/>
              </w:rPr>
            </w:r>
            <w:r>
              <w:rPr>
                <w:sz w:val="18"/>
              </w:rPr>
              <w:t>EQUIVALENT</w:t>
            </w:r>
          </w:p>
        </w:tc>
      </w:tr>
    </w:tbl>
    <w:p/>
    <w:p>
      <w:pPr>
        <w:pStyle w:val="Heading3"/>
      </w:pPr>
      <w:r>
        <w:t>A.5 Run-config minimization</w:t>
      </w:r>
    </w:p>
    <w:p>
      <w:r>
        <w:t>Run config 43 -&gt; 17 lines. Verdict against the baseline: EQUIVALENT.</w:t>
      </w:r>
    </w:p>
    <w:tbl>
      <w:tblPr>
        <w:tblStyle w:val="TableGrid"/>
        <w:tblW w:type="auto" w:w="0"/>
        <w:jc w:val="center"/>
        <w:tblLook w:firstColumn="1" w:firstRow="1" w:lastColumn="0" w:lastRow="0" w:noHBand="0" w:noVBand="1" w:val="04A0"/>
      </w:tblPr>
      <w:tblGrid>
        <w:gridCol w:w="8640"/>
      </w:tblGrid>
      <w:tr>
        <w:tc>
          <w:tcPr>
            <w:tcW w:type="dxa" w:w="8640"/>
          </w:tcPr>
          <w:p>
            <w:pPr>
              <w:jc w:val="left"/>
            </w:pPr>
            <w:r>
              <w:rPr>
                <w:b/>
                <w:sz w:val="18"/>
              </w:rPr>
            </w:r>
            <w:r>
              <w:rPr>
                <w:b/>
                <w:sz w:val="18"/>
              </w:rPr>
              <w:t>setting dropped</w:t>
            </w:r>
          </w:p>
        </w:tc>
      </w:tr>
      <w:tr>
        <w:tc>
          <w:tcPr>
            <w:tcW w:type="dxa" w:w="8640"/>
          </w:tcPr>
          <w:p>
            <w:pPr>
              <w:jc w:val="left"/>
            </w:pPr>
            <w:r>
              <w:rPr>
                <w:sz w:val="18"/>
              </w:rPr>
            </w:r>
            <w:r>
              <w:rPr>
                <w:sz w:val="18"/>
              </w:rPr>
              <w:t>surface_generation</w:t>
            </w:r>
          </w:p>
        </w:tc>
      </w:tr>
      <w:tr>
        <w:tc>
          <w:tcPr>
            <w:tcW w:type="dxa" w:w="8640"/>
          </w:tcPr>
          <w:p>
            <w:pPr>
              <w:jc w:val="left"/>
            </w:pPr>
            <w:r>
              <w:rPr>
                <w:sz w:val="18"/>
              </w:rPr>
            </w:r>
            <w:r>
              <w:rPr>
                <w:sz w:val="18"/>
              </w:rPr>
              <w:t>surface_quality_validation</w:t>
            </w:r>
          </w:p>
        </w:tc>
      </w:tr>
      <w:tr>
        <w:tc>
          <w:tcPr>
            <w:tcW w:type="dxa" w:w="8640"/>
          </w:tcPr>
          <w:p>
            <w:pPr>
              <w:jc w:val="left"/>
            </w:pPr>
            <w:r>
              <w:rPr>
                <w:sz w:val="18"/>
              </w:rPr>
            </w:r>
            <w:r>
              <w:rPr>
                <w:sz w:val="18"/>
              </w:rPr>
              <w:t>semantic_deduplication_config</w:t>
            </w:r>
          </w:p>
        </w:tc>
      </w:tr>
      <w:tr>
        <w:tc>
          <w:tcPr>
            <w:tcW w:type="dxa" w:w="8640"/>
          </w:tcPr>
          <w:p>
            <w:pPr>
              <w:jc w:val="left"/>
            </w:pPr>
            <w:r>
              <w:rPr>
                <w:sz w:val="18"/>
              </w:rPr>
            </w:r>
            <w:r>
              <w:rPr>
                <w:sz w:val="18"/>
              </w:rPr>
              <w:t>config_status</w:t>
            </w:r>
          </w:p>
        </w:tc>
      </w:tr>
      <w:tr>
        <w:tc>
          <w:tcPr>
            <w:tcW w:type="dxa" w:w="8640"/>
          </w:tcPr>
          <w:p>
            <w:pPr>
              <w:jc w:val="left"/>
            </w:pPr>
            <w:r>
              <w:rPr>
                <w:sz w:val="18"/>
              </w:rPr>
            </w:r>
            <w:r>
              <w:rPr>
                <w:sz w:val="18"/>
              </w:rPr>
              <w:t>lineage.profile_influenced_surface</w:t>
            </w:r>
          </w:p>
        </w:tc>
      </w:tr>
      <w:tr>
        <w:tc>
          <w:tcPr>
            <w:tcW w:type="dxa" w:w="8640"/>
          </w:tcPr>
          <w:p>
            <w:pPr>
              <w:jc w:val="left"/>
            </w:pPr>
            <w:r>
              <w:rPr>
                <w:sz w:val="18"/>
              </w:rPr>
            </w:r>
            <w:r>
              <w:rPr>
                <w:sz w:val="18"/>
              </w:rPr>
              <w:t>lineage.judge_advisory</w:t>
            </w:r>
          </w:p>
        </w:tc>
      </w:tr>
      <w:tr>
        <w:tc>
          <w:tcPr>
            <w:tcW w:type="dxa" w:w="8640"/>
          </w:tcPr>
          <w:p>
            <w:pPr>
              <w:jc w:val="left"/>
            </w:pPr>
            <w:r>
              <w:rPr>
                <w:sz w:val="18"/>
              </w:rPr>
            </w:r>
            <w:r>
              <w:rPr>
                <w:sz w:val="18"/>
              </w:rPr>
              <w:t>lineage.roles</w:t>
            </w:r>
          </w:p>
        </w:tc>
      </w:tr>
      <w:tr>
        <w:tc>
          <w:tcPr>
            <w:tcW w:type="dxa" w:w="8640"/>
          </w:tcPr>
          <w:p>
            <w:pPr>
              <w:jc w:val="left"/>
            </w:pPr>
            <w:r>
              <w:rPr>
                <w:sz w:val="18"/>
              </w:rPr>
            </w:r>
            <w:r>
              <w:rPr>
                <w:sz w:val="18"/>
              </w:rPr>
              <w:t>oracle_runtime.tool_timeout_s</w:t>
            </w:r>
          </w:p>
        </w:tc>
      </w:tr>
      <w:tr>
        <w:tc>
          <w:tcPr>
            <w:tcW w:type="dxa" w:w="8640"/>
          </w:tcPr>
          <w:p>
            <w:pPr>
              <w:jc w:val="left"/>
            </w:pPr>
            <w:r>
              <w:rPr>
                <w:sz w:val="18"/>
              </w:rPr>
            </w:r>
            <w:r>
              <w:rPr>
                <w:sz w:val="18"/>
              </w:rPr>
              <w:t>oracle_runtime.assertion_timeout_s</w:t>
            </w:r>
          </w:p>
        </w:tc>
      </w:tr>
      <w:tr>
        <w:tc>
          <w:tcPr>
            <w:tcW w:type="dxa" w:w="8640"/>
          </w:tcPr>
          <w:p>
            <w:pPr>
              <w:jc w:val="left"/>
            </w:pPr>
            <w:r>
              <w:rPr>
                <w:sz w:val="18"/>
              </w:rPr>
            </w:r>
            <w:r>
              <w:rPr>
                <w:sz w:val="18"/>
              </w:rPr>
              <w:t>oracle_runtime.import_timeout_s</w:t>
            </w:r>
          </w:p>
        </w:tc>
      </w:tr>
      <w:tr>
        <w:tc>
          <w:tcPr>
            <w:tcW w:type="dxa" w:w="8640"/>
          </w:tcPr>
          <w:p>
            <w:pPr>
              <w:jc w:val="left"/>
            </w:pPr>
            <w:r>
              <w:rPr>
                <w:sz w:val="18"/>
              </w:rPr>
            </w:r>
            <w:r>
              <w:rPr>
                <w:sz w:val="18"/>
              </w:rPr>
              <w:t>oracle_runtime.reset_timeout_s</w:t>
            </w:r>
          </w:p>
        </w:tc>
      </w:tr>
      <w:tr>
        <w:tc>
          <w:tcPr>
            <w:tcW w:type="dxa" w:w="8640"/>
          </w:tcPr>
          <w:p>
            <w:pPr>
              <w:jc w:val="left"/>
            </w:pPr>
            <w:r>
              <w:rPr>
                <w:sz w:val="18"/>
              </w:rPr>
            </w:r>
            <w:r>
              <w:rPr>
                <w:sz w:val="18"/>
              </w:rPr>
              <w:t>oracle_runtime.episode_timeout_s</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bfcl_ablation/run_a1.py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bfcl_ablation/results/A1/metrics.json</w:t>
            </w:r>
          </w:p>
        </w:tc>
        <w:tc>
          <w:tcPr>
            <w:tcW w:type="dxa" w:w="2880"/>
          </w:tcPr>
          <w:p>
            <w:pPr>
              <w:jc w:val="right"/>
            </w:pPr>
            <w:r>
              <w:rPr>
                <w:sz w:val="18"/>
              </w:rPr>
            </w:r>
            <w:r>
              <w:rPr>
                <w:sz w:val="18"/>
              </w:rPr>
              <w:t>37,380 B</w:t>
            </w:r>
          </w:p>
        </w:tc>
        <w:tc>
          <w:tcPr>
            <w:tcW w:type="dxa" w:w="2880"/>
          </w:tcPr>
          <w:p>
            <w:pPr>
              <w:jc w:val="right"/>
            </w:pPr>
            <w:r>
              <w:rPr>
                <w:sz w:val="18"/>
              </w:rPr>
            </w:r>
            <w:r>
              <w:rPr>
                <w:sz w:val="18"/>
              </w:rPr>
              <w:t>sha256:a687a00faea654de</w:t>
            </w:r>
          </w:p>
        </w:tc>
      </w:tr>
      <w:tr>
        <w:tc>
          <w:tcPr>
            <w:tcW w:type="dxa" w:w="2880"/>
          </w:tcPr>
          <w:p>
            <w:pPr>
              <w:jc w:val="left"/>
            </w:pPr>
            <w:r>
              <w:rPr>
                <w:sz w:val="18"/>
              </w:rPr>
            </w:r>
            <w:r>
              <w:rPr>
                <w:sz w:val="18"/>
              </w:rPr>
              <w:t>bfcl_ablation/results/A1/report.md</w:t>
            </w:r>
          </w:p>
        </w:tc>
        <w:tc>
          <w:tcPr>
            <w:tcW w:type="dxa" w:w="2880"/>
          </w:tcPr>
          <w:p>
            <w:pPr>
              <w:jc w:val="right"/>
            </w:pPr>
            <w:r>
              <w:rPr>
                <w:sz w:val="18"/>
              </w:rPr>
            </w:r>
            <w:r>
              <w:rPr>
                <w:sz w:val="18"/>
              </w:rPr>
              <w:t>8,442 B</w:t>
            </w:r>
          </w:p>
        </w:tc>
        <w:tc>
          <w:tcPr>
            <w:tcW w:type="dxa" w:w="2880"/>
          </w:tcPr>
          <w:p>
            <w:pPr>
              <w:jc w:val="right"/>
            </w:pPr>
            <w:r>
              <w:rPr>
                <w:sz w:val="18"/>
              </w:rPr>
            </w:r>
            <w:r>
              <w:rPr>
                <w:sz w:val="18"/>
              </w:rPr>
              <w:t>sha256:9c292d5c5f5a6b10</w:t>
            </w:r>
          </w:p>
        </w:tc>
      </w:tr>
      <w:tr>
        <w:tc>
          <w:tcPr>
            <w:tcW w:type="dxa" w:w="2880"/>
          </w:tcPr>
          <w:p>
            <w:pPr>
              <w:jc w:val="left"/>
            </w:pPr>
            <w:r>
              <w:rPr>
                <w:sz w:val="18"/>
              </w:rPr>
            </w:r>
            <w:r>
              <w:rPr>
                <w:sz w:val="18"/>
              </w:rPr>
              <w:t>bfcl_ablation/results/A1/vs_a0_equivalence.json</w:t>
            </w:r>
          </w:p>
        </w:tc>
        <w:tc>
          <w:tcPr>
            <w:tcW w:type="dxa" w:w="2880"/>
          </w:tcPr>
          <w:p>
            <w:pPr>
              <w:jc w:val="right"/>
            </w:pPr>
            <w:r>
              <w:rPr>
                <w:sz w:val="18"/>
              </w:rPr>
            </w:r>
            <w:r>
              <w:rPr>
                <w:sz w:val="18"/>
              </w:rPr>
              <w:t>3,238 B</w:t>
            </w:r>
          </w:p>
        </w:tc>
        <w:tc>
          <w:tcPr>
            <w:tcW w:type="dxa" w:w="2880"/>
          </w:tcPr>
          <w:p>
            <w:pPr>
              <w:jc w:val="right"/>
            </w:pPr>
            <w:r>
              <w:rPr>
                <w:sz w:val="18"/>
              </w:rPr>
            </w:r>
            <w:r>
              <w:rPr>
                <w:sz w:val="18"/>
              </w:rPr>
              <w:t>sha256:b994b683ac564dc7</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8,071 B</w:t>
            </w:r>
          </w:p>
        </w:tc>
        <w:tc>
          <w:tcPr>
            <w:tcW w:type="dxa" w:w="2880"/>
          </w:tcPr>
          <w:p>
            <w:pPr>
              <w:jc w:val="right"/>
            </w:pPr>
            <w:r>
              <w:rPr>
                <w:sz w:val="18"/>
              </w:rPr>
            </w:r>
            <w:r>
              <w:rPr>
                <w:sz w:val="18"/>
              </w:rPr>
              <w:t>sha256:6472ec09d3c6bdd0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