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ALL</w:t>
      </w:r>
    </w:p>
    <w:p>
      <w:r>
        <w:rPr>
          <w:b/>
          <w:sz w:val="28"/>
        </w:rPr>
        <w:t>Findings across the ladder</w:t>
      </w:r>
    </w:p>
    <w:p>
      <w:r>
        <w:rPr>
          <w:i/>
          <w:color w:val="606A76"/>
        </w:rPr>
        <w:t>Cross-arm synthesis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openai/gpt-oss-120b, local vLLM, temperature 0, seed 0, all calls disk-cached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pStyle w:val="Heading2"/>
      </w:pPr>
      <w:r>
        <w:t>Solve accuracy across wordings (A5)</w:t>
      </w:r>
    </w:p>
    <w:p>
      <w:r>
        <w:t xml:space="preserve">Every metric above describes the benchmark. These describe a </w:t>
      </w:r>
      <w:r>
        <w:rPr>
          <w:b/>
        </w:rPr>
        <w:t>target model measured on it</w:t>
      </w:r>
      <w:r>
        <w:t>, and are the only ones whose subject is not the pack.</w:t>
      </w:r>
    </w:p>
    <w:p>
      <w:r>
        <w:rPr>
          <w:b/>
        </w:rPr>
        <w:t>`ast_match`</w:t>
      </w:r>
      <w:r>
        <w:t xml:space="preserve"> — the model's tool calls equal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: same function names, same arguments, compared after normalising both sides to sorted-key JSON (the published row encodes arguments as </w:t>
      </w:r>
      <w:r>
        <w:rPr>
          <w:rFonts w:ascii="Consolas" w:hAnsi="Consolas"/>
          <w:color w:val="24292E"/>
          <w:sz w:val="19"/>
        </w:rPr>
        <w:t>[[key, canonical_json]]</w:t>
      </w:r>
      <w:r>
        <w:t xml:space="preserve"> pairs, a model returns a dict). Order is part of the claim </w:t>
      </w:r>
      <w:r>
        <w:rPr>
          <w:b/>
        </w:rPr>
        <w:t>unless</w:t>
      </w:r>
      <w:r>
        <w:t xml:space="preserve"> the template declares </w:t>
      </w:r>
      <w:r>
        <w:rPr>
          <w:rFonts w:ascii="Consolas" w:hAnsi="Consolas"/>
          <w:color w:val="24292E"/>
          <w:sz w:val="19"/>
        </w:rPr>
        <w:t>call_order: any</w:t>
      </w:r>
      <w:r>
        <w:t xml:space="preserve">, in which case the comparison is order-insensitive. A1 proved </w:t>
      </w:r>
      <w:r>
        <w:rPr>
          <w:rFonts w:ascii="Consolas" w:hAnsi="Consolas"/>
          <w:color w:val="24292E"/>
          <w:sz w:val="19"/>
        </w:rPr>
        <w:t>call_order</w:t>
      </w:r>
      <w:r>
        <w:t xml:space="preserve"> is not derivable, so it is read from the template and never inferred.</w:t>
      </w:r>
    </w:p>
    <w:p>
      <w:r>
        <w:rPr>
          <w:b/>
        </w:rPr>
        <w:t>`assertion`</w:t>
      </w:r>
      <w:r>
        <w:t xml:space="preserve"> — the same episode judged by the pack's own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, run through </w:t>
      </w:r>
      <w:r>
        <w:rPr>
          <w:rFonts w:ascii="Consolas" w:hAnsi="Consolas"/>
          <w:color w:val="24292E"/>
          <w:sz w:val="19"/>
        </w:rPr>
        <w:t>ProcessWorker.run_episode</w:t>
      </w:r>
      <w:r>
        <w:t xml:space="preserve"> exactly as the gold replay is. Reported </w:t>
      </w:r>
      <w:r>
        <w:rPr>
          <w:b/>
        </w:rPr>
        <w:t>beside</w:t>
      </w:r>
      <w:r>
        <w:t xml:space="preserve"> </w:t>
      </w:r>
      <w:r>
        <w:rPr>
          <w:rFonts w:ascii="Consolas" w:hAnsi="Consolas"/>
          <w:color w:val="24292E"/>
          <w:sz w:val="19"/>
        </w:rPr>
        <w:t>ast_match</w:t>
      </w:r>
      <w:r>
        <w:t>, never instead of it: A4 measured this pack's assertions at 0.610 false acceptance on argument-level corruptions, so a model can pass this column while reporting a fabricated value. The gap between the columns is a readout, not noise.</w:t>
      </w:r>
    </w:p>
    <w:p>
      <w:r>
        <w:t xml:space="preserve">A task with no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 is recorded as </w:t>
      </w:r>
      <w:r>
        <w:rPr>
          <w:rFonts w:ascii="Consolas" w:hAnsi="Consolas"/>
          <w:color w:val="24292E"/>
          <w:sz w:val="19"/>
        </w:rPr>
        <w:t>assertion: false</w:t>
      </w:r>
      <w:r>
        <w:t xml:space="preserve"> rather than silently passing. An episode that fails to execute returns no verdict at all, so a broken harness cannot be read as a wrong model.</w:t>
      </w:r>
    </w:p>
    <w:p>
      <w:r>
        <w:rPr>
          <w:b/>
        </w:rPr>
        <w:t>`paired_agreement`</w:t>
      </w:r>
      <w:r>
        <w:t xml:space="preserve"> — share of tasks on which both wordings produced the same verdict. The pairing is exact: </w:t>
      </w:r>
      <w:r>
        <w:rPr>
          <w:rFonts w:ascii="Consolas" w:hAnsi="Consolas"/>
          <w:color w:val="24292E"/>
          <w:sz w:val="19"/>
        </w:rPr>
        <w:t>task_id</w:t>
      </w:r>
      <w:r>
        <w:t xml:space="preserve"> is hashed over pack, template, fixture refs, slot bindings and variant index, and </w:t>
      </w:r>
      <w:r>
        <w:rPr>
          <w:b/>
        </w:rPr>
        <w:t>not</w:t>
      </w:r>
      <w:r>
        <w:t xml:space="preserve"> over the surface, so the same task carries the same id under both wordings.</w:t>
      </w:r>
    </w:p>
    <w:p>
      <w:r>
        <w:rPr>
          <w:b/>
        </w:rPr>
        <w:t>`mcnemar_p`</w:t>
      </w:r>
      <w:r>
        <w:t xml:space="preserve"> — two-sided </w:t>
      </w:r>
      <w:r>
        <w:rPr>
          <w:b/>
        </w:rPr>
        <w:t>exact</w:t>
      </w:r>
      <w:r>
        <w:t xml:space="preserve"> McNemar on the discordant pairs, H0 = wording has no effect. Exact rather than chi-square because the discordant count here is far below the ~25 the approximation needs. A non-significant p at this n means </w:t>
      </w:r>
      <w:r>
        <w:rPr>
          <w:i/>
        </w:rPr>
        <w:t>not detected</w:t>
      </w:r>
      <w:r>
        <w:t xml:space="preserve">, not </w:t>
      </w:r>
      <w:r>
        <w:rPr>
          <w:i/>
        </w:rPr>
        <w:t>no effect</w:t>
      </w:r>
      <w:r>
        <w:t>.</w:t>
      </w:r>
    </w:p>
    <w:p>
      <w:r>
        <w:rPr>
          <w:b/>
        </w:rPr>
        <w:t>Per-cell reporting is mandatory.</w:t>
      </w:r>
      <w:r>
        <w:t xml:space="preserve"> Accuracy is reported per </w:t>
      </w:r>
      <w:r>
        <w:rPr>
          <w:rFonts w:ascii="Consolas" w:hAnsi="Consolas"/>
          <w:color w:val="24292E"/>
          <w:sz w:val="19"/>
        </w:rPr>
        <w:t>turn_policy</w:t>
      </w:r>
      <w:r>
        <w:t xml:space="preserve"> and per </w:t>
      </w:r>
      <w:r>
        <w:rPr>
          <w:rFonts w:ascii="Consolas" w:hAnsi="Consolas"/>
          <w:color w:val="24292E"/>
          <w:sz w:val="19"/>
        </w:rPr>
        <w:t>category</w:t>
      </w:r>
      <w:r>
        <w:t xml:space="preserve"> with the count printed alongside every rate. Pooled accuracy is dominated by </w:t>
      </w:r>
      <w:r>
        <w:rPr>
          <w:rFonts w:ascii="Consolas" w:hAnsi="Consolas"/>
          <w:color w:val="24292E"/>
          <w:sz w:val="19"/>
        </w:rPr>
        <w:t>single_turn</w:t>
      </w:r>
      <w:r>
        <w:t xml:space="preserve"> (18 of 33 tasks) and hides the policies the ladder exists to compare.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 A5 solve-accuracy metrics added under the same version: they are new metrics, not changes to existing ones, so no arm's numbers move.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t>Five arms, one pack (</w:t>
      </w:r>
      <w:r>
        <w:rPr>
          <w:rFonts w:ascii="Consolas" w:hAnsi="Consolas"/>
          <w:color w:val="24292E"/>
          <w:sz w:val="19"/>
        </w:rPr>
        <w:t>banking_vn</w:t>
      </w:r>
      <w:r>
        <w:t>), one model (</w:t>
      </w:r>
      <w:r>
        <w:rPr>
          <w:rFonts w:ascii="Consolas" w:hAnsi="Consolas"/>
          <w:color w:val="24292E"/>
          <w:sz w:val="19"/>
        </w:rPr>
        <w:t>gpt-oss-120b</w:t>
      </w:r>
      <w:r>
        <w:t>). Every arm ran the unmodified production pipeline; an arm is defined by the pack and config it feeds in.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The one sentence</w:t>
      </w:r>
    </w:p>
    <w:p>
      <w:r>
        <w:rPr>
          <w:b/>
        </w:rPr>
        <w:t>Every quality gate the pipeline has is about mechanism — did it replay deterministically, is the fingerprint intact, did the schema match — and none is about content.</w:t>
      </w:r>
      <w:r>
        <w:t xml:space="preserve"> Three arms show this independently and by different mechanisms: A0 finds the gates never fire, A4 finds the assertions do not check returned values, A3 finds a badly skewed benchmark passes anyway.</w:t>
      </w:r>
    </w:p>
    <w:p>
      <w:r>
        <w:t xml:space="preserve">They are </w:t>
      </w:r>
      <w:r>
        <w:rPr>
          <w:b/>
        </w:rPr>
        <w:t>not a causal chain</w:t>
      </w:r>
      <w:r>
        <w:t xml:space="preserve">, and an earlier draft wrongly presented them as one. A3 did not exploit A4's gap — it leans on </w:t>
      </w:r>
      <w:r>
        <w:rPr>
          <w:rFonts w:ascii="Consolas" w:hAnsi="Consolas"/>
          <w:color w:val="24292E"/>
          <w:sz w:val="19"/>
        </w:rPr>
        <w:t>assert_no_tool_called</w:t>
      </w:r>
      <w:r>
        <w:t xml:space="preserve"> for 14 of its 20 templates, which A4 scored at 0.000 false acceptance. They are also not statistically independent: A4 gates exactly A0's 33 tasks from A0's stage cache.</w:t>
      </w:r>
    </w:p>
    <w:p>
      <w:r>
        <w:rPr>
          <w:b/>
        </w:rPr>
        <w:t>A4 did not explain A0 either — until A5.</w:t>
      </w:r>
      <w:r>
        <w:t xml:space="preserve"> A0 replayed uncorrupted traces, so nothing reached the assertions in a failing condition, and the link stayed inferred. A5 closes it with an observation: a target model, given A2's paraphrase of two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tasks, emitted an extra call;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 caught it and the pack's assertions passed all 33 tasks in both wordings. Assertion agreement 1.000, ground-truth agreement 0.939.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The thread</w:t>
      </w:r>
    </w:p>
    <w:p>
      <w:pPr>
        <w:pStyle w:val="Heading3"/>
      </w:pPr>
      <w:r>
        <w:t>A0 — the gates never fire</w:t>
      </w:r>
    </w:p>
    <w:p>
      <w:r>
        <w:t xml:space="preserve">Publish rate is </w:t>
      </w:r>
      <w:r>
        <w:rPr>
          <w:b/>
        </w:rPr>
        <w:t>100%</w:t>
      </w:r>
      <w:r>
        <w:t xml:space="preserve"> at every task budget: 33/33, 55/55, 91/91. Nothing is dropped at any stage. So "publish rate" and "gold" look like quality readouts and carry no information.</w:t>
      </w:r>
    </w:p>
    <w:p>
      <w:r>
        <w:t xml:space="preserve">A0 also found the benchmark has three axes — entity coverage, policy mix, surface diversity — and exactly one knob, which reaches one of them. Raising </w:t>
      </w:r>
      <w:r>
        <w:rPr>
          <w:rFonts w:ascii="Consolas" w:hAnsi="Consolas"/>
          <w:color w:val="24292E"/>
          <w:sz w:val="19"/>
        </w:rPr>
        <w:t>tasks_per_category</w:t>
      </w:r>
      <w:r>
        <w:t xml:space="preserve"> from 6 to 24 triples the tasks and doubles entity coverage while leaving the number of distinct sentences </w:t>
      </w:r>
      <w:r>
        <w:rPr>
          <w:b/>
        </w:rPr>
        <w:t>exactly at 17</w:t>
      </w:r>
      <w:r>
        <w:t>, one per template.</w:t>
      </w:r>
    </w:p>
    <w:p>
      <w:pPr>
        <w:pStyle w:val="Heading3"/>
      </w:pPr>
      <w:r>
        <w:t>A4 — the assertions accept almost anything about values</w:t>
      </w:r>
    </w:p>
    <w:p>
      <w:r>
        <w:t>False-acceptance rate on mutations an assertion must catch: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call level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argument level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 level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human (182 lines)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0.380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0.610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null control (empty)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</w:tr>
    </w:tbl>
    <w:p/>
    <w:p>
      <w:r>
        <w:t xml:space="preserve">The suite verifies </w:t>
      </w:r>
      <w:r>
        <w:rPr>
          <w:i/>
        </w:rPr>
        <w:t>that the right tool was called</w:t>
      </w:r>
      <w:r>
        <w:t xml:space="preserve"> and </w:t>
      </w:r>
      <w:r>
        <w:rPr>
          <w:i/>
        </w:rPr>
        <w:t>that the final state is right</w:t>
      </w:r>
      <w:r>
        <w:t xml:space="preserve">. It does not verify </w:t>
      </w:r>
      <w:r>
        <w:rPr>
          <w:i/>
        </w:rPr>
        <w:t>that the values reported back are correct</w:t>
      </w:r>
      <w:r>
        <w:t xml:space="preserve">: it misses a perturbed number 87.5% of the time, a transfer executed twice 85.7% of the time, and a dependent call pair executed in reverse 100% of the time. </w:t>
      </w:r>
      <w:r>
        <w:rPr>
          <w:rFonts w:ascii="Consolas" w:hAnsi="Consolas"/>
          <w:color w:val="24292E"/>
          <w:sz w:val="19"/>
        </w:rPr>
        <w:t>+1</w:t>
      </w:r>
      <w:r>
        <w:t xml:space="preserve"> and a large delta score identically, so the value is not being compared at all.</w:t>
      </w:r>
    </w:p>
    <w:p>
      <w:r>
        <w:t>This is consistent with A0's 100% publish rate but does not establish it: A0 never fed a corrupted trace to an assertion. Demonstrating the link would require running a model that produces wrong values against the published benchmark and showing it publishes clean.</w:t>
      </w:r>
    </w:p>
    <w:p>
      <w:pPr>
        <w:pStyle w:val="Heading3"/>
      </w:pPr>
      <w:r>
        <w:t>A3 — a skewed benchmark passes anyway, by a different route</w:t>
      </w:r>
    </w:p>
    <w:p>
      <w:r>
        <w:t xml:space="preserve">An LLM asked to propose tasks, with the policy sampler under system control, produced a pack that reached </w:t>
      </w:r>
      <w:r>
        <w:rPr>
          <w:b/>
        </w:rPr>
        <w:t>gold with 100% publish rate</w:t>
      </w:r>
      <w:r>
        <w:t xml:space="preserve"> and was:</w:t>
      </w:r>
    </w:p>
    <w:p>
      <w:pPr>
        <w:pStyle w:val="ListBullet"/>
      </w:pPr>
      <w:r>
        <w:rPr>
          <w:b/>
        </w:rPr>
        <w:t>68% no-tool-call</w:t>
      </w:r>
      <w:r>
        <w:t xml:space="preserve"> (39.3% </w:t>
      </w:r>
      <w:r>
        <w:rPr>
          <w:rFonts w:ascii="Consolas" w:hAnsi="Consolas"/>
          <w:color w:val="24292E"/>
          <w:sz w:val="19"/>
        </w:rPr>
        <w:t>clarify_only</w:t>
      </w:r>
      <w:r>
        <w:t xml:space="preserve"> + 28.6% </w:t>
      </w:r>
      <w:r>
        <w:rPr>
          <w:rFonts w:ascii="Consolas" w:hAnsi="Consolas"/>
          <w:color w:val="24292E"/>
          <w:sz w:val="19"/>
        </w:rPr>
        <w:t>irrelevant</w:t>
      </w:r>
      <w:r>
        <w:t>)</w:t>
      </w:r>
    </w:p>
    <w:p>
      <w:pPr>
        <w:pStyle w:val="ListBullet"/>
      </w:pPr>
      <w:r>
        <w:t xml:space="preserve">missing </w:t>
      </w:r>
      <w:r>
        <w:rPr>
          <w:b/>
        </w:rPr>
        <w:t>5 of 9 tools</w:t>
      </w:r>
      <w:r>
        <w:t xml:space="preserve">, including </w:t>
      </w:r>
      <w:r>
        <w:rPr>
          <w:b/>
        </w:rPr>
        <w:t>both mutating tools</w:t>
      </w:r>
      <w:r>
        <w:t xml:space="preserve"> — no state change is ever exercised</w:t>
      </w:r>
    </w:p>
    <w:p>
      <w:pPr>
        <w:pStyle w:val="ListBullet"/>
      </w:pPr>
      <w:r>
        <w:t xml:space="preserve">binding </w:t>
      </w:r>
      <w:r>
        <w:rPr>
          <w:b/>
        </w:rPr>
        <w:t>11 of 50</w:t>
      </w:r>
      <w:r>
        <w:t xml:space="preserve"> fixture entities, </w:t>
      </w:r>
      <w:r>
        <w:rPr>
          <w:rFonts w:ascii="Consolas" w:hAnsi="Consolas"/>
          <w:color w:val="24292E"/>
          <w:sz w:val="19"/>
        </w:rPr>
        <w:t>transactions</w:t>
      </w:r>
      <w:r>
        <w:t xml:space="preserve"> 1/16</w:t>
      </w:r>
    </w:p>
    <w:p>
      <w:r>
        <w:t xml:space="preserve">Accept rate by policy ran from </w:t>
      </w:r>
      <w:r>
        <w:rPr>
          <w:b/>
        </w:rPr>
        <w:t>100%</w:t>
      </w:r>
      <w:r>
        <w:t xml:space="preserve"> (</w:t>
      </w:r>
      <w:r>
        <w:rPr>
          <w:rFonts w:ascii="Consolas" w:hAnsi="Consolas"/>
          <w:color w:val="24292E"/>
          <w:sz w:val="19"/>
        </w:rPr>
        <w:t>irrelevant</w:t>
      </w:r>
      <w:r>
        <w:t xml:space="preserve">) to </w:t>
      </w:r>
      <w:r>
        <w:rPr>
          <w:b/>
        </w:rPr>
        <w:t>0%</w:t>
      </w:r>
      <w:r>
        <w:t xml:space="preserve"> (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, </w:t>
      </w:r>
      <w:r>
        <w:rPr>
          <w:rFonts w:ascii="Consolas" w:hAnsi="Consolas"/>
          <w:color w:val="24292E"/>
          <w:sz w:val="19"/>
        </w:rPr>
        <w:t>correction</w:t>
      </w:r>
      <w:r>
        <w:t xml:space="preserve">, </w:t>
      </w:r>
      <w:r>
        <w:rPr>
          <w:rFonts w:ascii="Consolas" w:hAnsi="Consolas"/>
          <w:color w:val="24292E"/>
          <w:sz w:val="19"/>
        </w:rPr>
        <w:t>dependent_call</w:t>
      </w:r>
      <w:r>
        <w:t>). The sampler proposed hard policies evenly; the gate kept only the easy ones.</w:t>
      </w:r>
    </w:p>
    <w:p>
      <w:r>
        <w:t xml:space="preserve">This is indistinguishable from A0 by every gate the pipeline runs. The mechanism is task selection rather than assertion weakness: </w:t>
      </w:r>
      <w:r>
        <w:rPr>
          <w:b/>
        </w:rPr>
        <w:t>14 of the 20 accepted templates (70%) are unfalsifiable by the executable oracle</w:t>
      </w:r>
      <w:r>
        <w:t xml:space="preserve"> — they assert that nothing happened, which an oracle cannot disprove. Two are labelled </w:t>
      </w:r>
      <w:r>
        <w:rPr>
          <w:rFonts w:ascii="Consolas" w:hAnsi="Consolas"/>
          <w:color w:val="24292E"/>
          <w:sz w:val="19"/>
        </w:rPr>
        <w:t>clarify_only</w:t>
      </w:r>
      <w:r>
        <w:t xml:space="preserve"> although the pack holds a tool that answers them.</w:t>
      </w:r>
    </w:p>
    <w:p>
      <w:pPr>
        <w:pStyle w:val="Heading3"/>
      </w:pPr>
      <w:r>
        <w:t>A5 — and it happens on real model output</w:t>
      </w:r>
    </w:p>
    <w:p>
      <w:r>
        <w:t xml:space="preserve">The same 33 tasks in two wordings, one target model, paired by </w:t>
      </w:r>
      <w:r>
        <w:rPr>
          <w:rFonts w:ascii="Consolas" w:hAnsi="Consolas"/>
          <w:color w:val="24292E"/>
          <w:sz w:val="19"/>
        </w:rPr>
        <w:t>task_id</w:t>
      </w:r>
      <w:r>
        <w:t xml:space="preserve"> (which does not cover the surface, so both arms share ids exactly):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paired agreement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calls equal </w:t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0.909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0.939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pack's own </w:t>
            </w:r>
            <w:r>
              <w:rPr>
                <w:rFonts w:ascii="Consolas" w:hAnsi="Consolas"/>
                <w:color w:val="24292E"/>
                <w:sz w:val="18"/>
              </w:rPr>
              <w:t>success_assertions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1.000</w:t>
            </w:r>
          </w:p>
        </w:tc>
      </w:tr>
    </w:tbl>
    <w:p/>
    <w:p>
      <w:r>
        <w:t xml:space="preserve">Two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tasks flipped. A0 says </w:t>
      </w:r>
      <w:r>
        <w:rPr>
          <w:i/>
        </w:rPr>
        <w:t xml:space="preserve">"chuyển </w:t>
      </w:r>
      <w:r>
        <w:rPr>
          <w:i/>
        </w:rPr>
        <w:t>ngay</w:t>
      </w:r>
      <w:r>
        <w:rPr>
          <w:i/>
        </w:rPr>
        <w:t>"</w:t>
      </w:r>
      <w:r>
        <w:t xml:space="preserve"> (transfer </w:t>
      </w:r>
      <w:r>
        <w:rPr>
          <w:i/>
        </w:rPr>
        <w:t>immediately</w:t>
      </w:r>
      <w:r>
        <w:t xml:space="preserve">), A2 says </w:t>
      </w:r>
      <w:r>
        <w:rPr>
          <w:i/>
        </w:rPr>
        <w:t>"</w:t>
      </w:r>
      <w:r>
        <w:rPr>
          <w:i/>
        </w:rPr>
        <w:t>mong</w:t>
      </w:r>
      <w:r>
        <w:rPr>
          <w:i/>
        </w:rPr>
        <w:t xml:space="preserve"> chuyển"</w:t>
      </w:r>
      <w:r>
        <w:t xml:space="preserve"> (</w:t>
      </w:r>
      <w:r>
        <w:rPr>
          <w:i/>
        </w:rPr>
        <w:t>would like to</w:t>
      </w:r>
      <w:r>
        <w:t xml:space="preserve"> transfer); without the urgency marker the model checked the fee first. The transfer is identical and correct — the call set is not. The assertions passed both.</w:t>
      </w:r>
    </w:p>
    <w:p>
      <w:r>
        <w:t xml:space="preserve">The failure mode is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, which A4 had scored at </w:t>
      </w:r>
      <w:r>
        <w:rPr>
          <w:b/>
        </w:rPr>
        <w:t>0.882</w:t>
      </w:r>
      <w:r>
        <w:t xml:space="preserve"> false acceptance on synthetic corruptions. It is the operator A4 rated most dangerous, and it is the one that showed up first in the wild.</w:t>
      </w:r>
    </w:p>
    <w:p>
      <w:r>
        <w:t xml:space="preserve">Two honest qualifications: the accuracy delta is </w:t>
      </w:r>
      <w:r>
        <w:rPr>
          <w:b/>
        </w:rPr>
        <w:t>not significant</w:t>
      </w:r>
      <w:r>
        <w:t xml:space="preserve"> (McNemar p = 0.50 on 2 discordant pairs), and the paraphrase preserved tool-level intent — A2's checker passed it correctly. What changed was register. </w:t>
      </w:r>
      <w:r>
        <w:rPr>
          <w:b/>
        </w:rPr>
        <w:t>Intent preservation is not behavioural equivalence</w:t>
      </w:r>
      <w:r>
        <w:t>, and no arm before this one could tell the difference.</w:t>
      </w:r>
    </w:p>
    <w:p>
      <w:pPr>
        <w:pStyle w:val="Heading3"/>
      </w:pPr>
      <w:r>
        <w:t>A1 and A2 — the parts that worked</w:t>
      </w:r>
    </w:p>
    <w:p>
      <w:r>
        <w:rPr>
          <w:b/>
        </w:rPr>
        <w:t>A1</w:t>
      </w:r>
      <w:r>
        <w:t xml:space="preserve">: 256 of 1642 authored lines (15.6%) come off with no model involved, verified </w:t>
      </w:r>
      <w:r>
        <w:rPr>
          <w:rFonts w:ascii="Consolas" w:hAnsi="Consolas"/>
          <w:color w:val="24292E"/>
          <w:sz w:val="19"/>
        </w:rPr>
        <w:t>EQUIVALENT</w:t>
      </w:r>
      <w:r>
        <w:t xml:space="preserve"> — same </w:t>
      </w:r>
      <w:r>
        <w:rPr>
          <w:rFonts w:ascii="Consolas" w:hAnsi="Consolas"/>
          <w:color w:val="24292E"/>
          <w:sz w:val="19"/>
        </w:rPr>
        <w:t>set(task_id)</w:t>
      </w:r>
      <w:r>
        <w:t xml:space="preserve">, same </w:t>
      </w:r>
      <w:r>
        <w:rPr>
          <w:rFonts w:ascii="Consolas" w:hAnsi="Consolas"/>
          <w:color w:val="24292E"/>
          <w:sz w:val="19"/>
        </w:rPr>
        <w:t>expected_tool_calls</w:t>
      </w:r>
      <w:r>
        <w:t>, gold preserved. Measured against only the derivable half of the pack (the other 877 lines are ground truth), that is 33%.</w:t>
      </w:r>
    </w:p>
    <w:p>
      <w:r>
        <w:rPr>
          <w:b/>
        </w:rPr>
        <w:t>A2</w:t>
      </w:r>
      <w:r>
        <w:t xml:space="preserve">: paraphrasing raises surface diversity to 1.82 sentences per template at the pack's own budget, and 4.53 at budget 24 — the larger figure needs the task budget raised too. Ground truth moved </w:t>
      </w:r>
      <w:r>
        <w:rPr>
          <w:b/>
        </w:rPr>
        <w:t>zero</w:t>
      </w:r>
      <w:r>
        <w:t xml:space="preserve"> at all twelve configurations tested.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What each arm changed about the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arm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the plan said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the run found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measure the baseline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budget knob cannot reach surface diversity at all; publish rate is not a quality signal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paraphrase</w:t>
            </w:r>
            <w:r>
              <w:rPr>
                <w:sz w:val="18"/>
              </w:rPr>
              <w:t xml:space="preserve"> is a dead field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it is read by </w:t>
            </w:r>
            <w:r>
              <w:rPr>
                <w:rFonts w:ascii="Consolas" w:hAnsi="Consolas"/>
                <w:color w:val="24292E"/>
                <w:sz w:val="18"/>
              </w:rPr>
              <w:t>render.py</w:t>
            </w:r>
            <w:r>
              <w:rPr>
                <w:sz w:val="18"/>
              </w:rPr>
              <w:t xml:space="preserve">; it is droppable only because </w:t>
            </w:r>
            <w:r>
              <w:rPr>
                <w:rFonts w:ascii="Consolas" w:hAnsi="Consolas"/>
                <w:color w:val="24292E"/>
                <w:sz w:val="18"/>
              </w:rPr>
              <w:t>pack_loader</w:t>
            </w:r>
            <w:r>
              <w:rPr>
                <w:sz w:val="18"/>
              </w:rPr>
              <w:t xml:space="preserve"> defaults it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primary_keys</w:t>
            </w:r>
            <w:r>
              <w:rPr>
                <w:sz w:val="18"/>
              </w:rPr>
              <w:t xml:space="preserve"> → infer + validate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existing heuristic resolves </w:t>
            </w:r>
            <w:r>
              <w:rPr>
                <w:rFonts w:ascii="Consolas" w:hAnsi="Consolas"/>
                <w:color w:val="24292E"/>
                <w:sz w:val="18"/>
              </w:rPr>
              <w:t>vietqr_payments</w:t>
            </w:r>
            <w:r>
              <w:rPr>
                <w:sz w:val="18"/>
              </w:rPr>
              <w:t xml:space="preserve"> to its </w:t>
            </w:r>
            <w:r>
              <w:rPr>
                <w:b/>
                <w:sz w:val="18"/>
              </w:rPr>
              <w:t>foreign key</w:t>
            </w:r>
            <w:r>
              <w:rPr>
                <w:sz w:val="18"/>
              </w:rPr>
              <w:t>; inference must prove uniqueness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absent_ids</w:t>
            </w:r>
            <w:r>
              <w:rPr>
                <w:sz w:val="18"/>
              </w:rPr>
              <w:t xml:space="preserve"> → generate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an absent id enters the </w:t>
            </w:r>
            <w:r>
              <w:rPr>
                <w:rFonts w:ascii="Consolas" w:hAnsi="Consolas"/>
                <w:color w:val="24292E"/>
                <w:sz w:val="18"/>
              </w:rPr>
              <w:t>task_id</w:t>
            </w:r>
            <w:r>
              <w:rPr>
                <w:sz w:val="18"/>
              </w:rPr>
              <w:t xml:space="preserve"> hash, so generation is only safe if it reproduces the author's string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milestones ← (policy, intent, tools)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confirmed, plus </w:t>
            </w:r>
            <w:r>
              <w:rPr>
                <w:rFonts w:ascii="Consolas" w:hAnsi="Consolas"/>
                <w:color w:val="24292E"/>
                <w:sz w:val="18"/>
              </w:rPr>
              <w:t>call_order: any</w:t>
            </w:r>
            <w:r>
              <w:rPr>
                <w:sz w:val="18"/>
              </w:rPr>
              <w:t xml:space="preserve"> is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derivable — deriving it silently serialises a parallel call group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intent drift is an open risk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quantified: existing guards catch </w:t>
            </w:r>
            <w:r>
              <w:rPr>
                <w:b/>
                <w:sz w:val="18"/>
              </w:rPr>
              <w:t>0 of 34</w:t>
            </w:r>
            <w:r>
              <w:rPr>
                <w:sz w:val="18"/>
              </w:rPr>
              <w:t xml:space="preserve"> injected shifts; the new checker catches </w:t>
            </w:r>
            <w:r>
              <w:rPr>
                <w:b/>
                <w:sz w:val="18"/>
              </w:rPr>
              <w:t>32 of 34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ladder 1/5/10/20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only measurable if the task budget rises with N; at budget 6 the top rungs are indistinguishable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policy distribution ← system prevents selection bias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necessary but not sufficient</w:t>
            </w:r>
            <w:r>
              <w:rPr>
                <w:sz w:val="18"/>
              </w:rPr>
              <w:t xml:space="preserve"> — bias re-enters at the accept/drop gate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mutation score alone is insufficient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confirmed: the 0.498 aggregate hides 0.000 at state level and 0.610 at argument level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assertions stay human until evidence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supported — LLM suites are stricter but false-reject 2–3 of 34 valid tasks at 8–9x the code, and the feedback arm also rejects 18 of 26 corruptions that were never defects</w:t>
            </w:r>
          </w:p>
        </w:tc>
      </w:tr>
    </w:tbl>
    <w:p/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What to do next, in order</w:t>
      </w:r>
    </w:p>
    <w:p>
      <w:pPr>
        <w:pStyle w:val="ListNumber"/>
      </w:pPr>
      <w:r>
        <w:rPr>
          <w:b/>
        </w:rPr>
        <w:t>Report false-acceptance rate per operator class alongside gold.</w:t>
      </w:r>
      <w:r>
        <w:t xml:space="preserve"> It is the readout that</w:t>
      </w:r>
    </w:p>
    <w:p>
      <w:r>
        <w:t>most directly measures assertion strength; coverage and distribution distinguish packs too. Publish rate should stop being presented as quality.</w:t>
      </w:r>
    </w:p>
    <w:p>
      <w:pPr>
        <w:pStyle w:val="ListNumber"/>
      </w:pPr>
      <w:r>
        <w:rPr>
          <w:b/>
        </w:rPr>
        <w:t>Fix the argument-level blindness in `banking_vn`'s assertions.</w:t>
      </w:r>
      <w:r>
        <w:t xml:space="preserve"> They do not compare</w:t>
      </w:r>
    </w:p>
    <w:p>
      <w:r>
        <w:t>returned values against fixture state. This is a bug in the reference pack, not a research finding — and the fix is small.</w:t>
      </w:r>
    </w:p>
    <w:p>
      <w:pPr>
        <w:pStyle w:val="ListNumber"/>
      </w:pPr>
      <w:r>
        <w:rPr>
          <w:b/>
        </w:rPr>
        <w:t>Make A3 sample the *accepted* distribution.</w:t>
      </w:r>
      <w:r>
        <w:t xml:space="preserve"> Retry a cell until its target is met or</w:t>
      </w:r>
    </w:p>
    <w:p>
      <w:r>
        <w:t>declare it unreachable. Without this, every LLM-authored pack drifts toward no-tool-call tasks.</w:t>
      </w:r>
    </w:p>
    <w:p>
      <w:pPr>
        <w:pStyle w:val="ListNumber"/>
      </w:pPr>
      <w:r>
        <w:rPr>
          <w:b/>
        </w:rPr>
        <w:t>Gate A2 on `substituted` only, never on the raw flag.</w:t>
      </w:r>
      <w:r>
        <w:t xml:space="preserve"> Raw gating would drop ~95% of</w:t>
      </w:r>
    </w:p>
    <w:p>
      <w:r>
        <w:rPr>
          <w:rFonts w:ascii="Consolas" w:hAnsi="Consolas"/>
          <w:color w:val="24292E"/>
          <w:sz w:val="19"/>
        </w:rPr>
        <w:t>dependent_call</w:t>
      </w:r>
      <w:r>
        <w:t xml:space="preserve"> and ~84% of </w:t>
      </w:r>
      <w:r>
        <w:rPr>
          <w:rFonts w:ascii="Consolas" w:hAnsi="Consolas"/>
          <w:color w:val="24292E"/>
          <w:sz w:val="19"/>
        </w:rPr>
        <w:t>missing_slot</w:t>
      </w:r>
      <w:r>
        <w:t xml:space="preserve"> paraphrases — the checker cannot infer a multi-step plan from an opening turn, and those policies are already down to one task each.</w:t>
      </w:r>
    </w:p>
    <w:p>
      <w:pPr>
        <w:pStyle w:val="ListNumber"/>
      </w:pPr>
      <w:r>
        <w:rPr>
          <w:b/>
        </w:rPr>
        <w:t>Fix A2's variant assignment</w:t>
      </w:r>
      <w:r>
        <w:t xml:space="preserve"> (</w:t>
      </w:r>
      <w:r>
        <w:rPr>
          <w:rFonts w:ascii="Consolas" w:hAnsi="Consolas"/>
          <w:color w:val="24292E"/>
          <w:sz w:val="19"/>
        </w:rPr>
        <w:t>seed % N</w:t>
      </w:r>
      <w:r>
        <w:t xml:space="preserve"> collides; round-robin over a template's</w:t>
      </w:r>
    </w:p>
    <w:p>
      <w:r>
        <w:t>instances instead). Recovers 3–27% of achievable diversity for free.</w:t>
      </w:r>
    </w:p>
    <w:p>
      <w:pPr>
        <w:pStyle w:val="ListNumber"/>
      </w:pPr>
      <w:r>
        <w:rPr>
          <w:b/>
        </w:rPr>
        <w:t>Run the lexical-shortcut probe.</w:t>
      </w:r>
      <w:r>
        <w:t xml:space="preserve"> It was not runnable at A0 (one phrasing per intent) and</w:t>
      </w:r>
    </w:p>
    <w:p>
      <w:r>
        <w:t>is runnable now. It is the measurement that says whether the diversity A2 bought is real.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What this does not show</w:t>
      </w:r>
    </w:p>
    <w:p>
      <w:pPr>
        <w:pStyle w:val="ListBullet"/>
      </w:pPr>
      <w:r>
        <w:rPr>
          <w:b/>
        </w:rPr>
        <w:t>One pack, one domain, one language, one model.</w:t>
      </w:r>
      <w:r>
        <w:t xml:space="preserve"> </w:t>
      </w:r>
      <w:r>
        <w:rPr>
          <w:rFonts w:ascii="Consolas" w:hAnsi="Consolas"/>
          <w:color w:val="24292E"/>
          <w:sz w:val="19"/>
        </w:rPr>
        <w:t>banking_vn</w:t>
      </w:r>
      <w:r>
        <w:t>, Vietnamese,</w:t>
      </w:r>
    </w:p>
    <w:p>
      <w:r>
        <w:rPr>
          <w:rFonts w:ascii="Consolas" w:hAnsi="Consolas"/>
          <w:color w:val="24292E"/>
          <w:sz w:val="19"/>
        </w:rPr>
        <w:t>gpt-oss-120b</w:t>
      </w:r>
      <w:r>
        <w:t>. Every cross-arm claim is a single observation.</w:t>
      </w:r>
    </w:p>
    <w:p>
      <w:pPr>
        <w:pStyle w:val="ListBullet"/>
      </w:pPr>
      <w:r>
        <w:rPr>
          <w:b/>
        </w:rPr>
        <w:t>Target-model evaluation is one model, one paraphrase.</w:t>
      </w:r>
      <w:r>
        <w:t xml:space="preserve"> A5 implements the plan's STEP 4 and</w:t>
      </w:r>
    </w:p>
    <w:p>
      <w:r>
        <w:t>found that the assertions cannot see a wording effect the declared ground truth catches. But its accuracy delta rests on 2 discordant pairs (p = 0.50) and its target model is the same family that wrote the paraphrases. It shows the gap is real; it does not yet say how large.</w:t>
      </w:r>
    </w:p>
    <w:p>
      <w:pPr>
        <w:pStyle w:val="ListBullet"/>
      </w:pPr>
      <w:r>
        <w:rPr>
          <w:b/>
        </w:rPr>
        <w:t>Self-preference is untouched.</w:t>
      </w:r>
      <w:r>
        <w:t xml:space="preserve"> It needs at least two generator families.</w:t>
      </w:r>
    </w:p>
    <w:p>
      <w:pPr>
        <w:pStyle w:val="ListBullet"/>
      </w:pPr>
      <w:r>
        <w:rPr>
          <w:b/>
        </w:rPr>
        <w:t>Small n in places.</w:t>
      </w:r>
      <w:r>
        <w:t xml:space="preserve"> A4's state-level result rests on 6 trials; A3's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accept</w:t>
      </w:r>
    </w:p>
    <w:p>
      <w:r>
        <w:t>rate on 3 proposals; A2's false-alarm floor on 17 sentences.</w:t>
      </w:r>
    </w:p>
    <w:p>
      <w:pPr>
        <w:pStyle w:val="ListBullet"/>
      </w:pPr>
      <w:r>
        <w:rPr>
          <w:b/>
        </w:rPr>
        <w:t>A2 and A3 do not compose.</w:t>
      </w:r>
      <w:r>
        <w:t xml:space="preserve"> They are independent arms. A combined run is not part of this</w:t>
      </w:r>
    </w:p>
    <w:p>
      <w:r>
        <w:t>ladder.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Where the numbers live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machine-readable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results/A0/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results/budget_sweep.json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results/A1/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results/A2/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results/A2_rerun/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results/A3/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results/A4/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a5.md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results/A5/</w:t>
            </w:r>
          </w:p>
        </w:tc>
      </w:tr>
    </w:tbl>
    <w:p/>
    <w:p>
      <w:r>
        <w:t xml:space="preserve">Metric definitions are fixed and versioned in </w:t>
      </w:r>
      <w:r>
        <w:rPr>
          <w:rFonts w:ascii="Consolas" w:hAnsi="Consolas"/>
          <w:color w:val="24292E"/>
          <w:sz w:val="19"/>
        </w:rPr>
        <w:t>results/METRICS.md</w:t>
      </w:r>
      <w:r>
        <w:t xml:space="preserve">;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records the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it was computed under. Arms recorded under different versions are not comparable.</w:t>
      </w:r>
    </w:p>
    <w:p>
      <w:r>
        <w:t xml:space="preserve">Every model call is cached under </w:t>
      </w:r>
      <w:r>
        <w:rPr>
          <w:rFonts w:ascii="Consolas" w:hAnsi="Consolas"/>
          <w:color w:val="24292E"/>
          <w:sz w:val="19"/>
        </w:rPr>
        <w:t>_generated/llm_cache</w:t>
      </w:r>
      <w:r>
        <w:t>, so a re-run reproduces these numbers and the cache is the record of what the model was asked and what it answered.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Headline readouts by arm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arm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authored LOC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templates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published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surfaces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entities bound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 rate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1642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1412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1390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11/50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</w:tbl>
    <w:p/>
    <w:p>
      <w:r>
        <w:t>A2 holds the A0 task set frozen and varies wording only, so its task and entity counts are A0's by construction; its own table is A.2.</w:t>
      </w:r>
    </w:p>
    <w:p>
      <w:pPr>
        <w:pStyle w:val="Heading3"/>
      </w:pPr>
      <w:r>
        <w:t>A.2 A2 — surface diversity by rung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budget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masked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ceiling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</w:tbl>
    <w:p/>
    <w:p>
      <w:pPr>
        <w:pStyle w:val="Heading3"/>
      </w:pPr>
      <w:r>
        <w:t>A.3 A4 — false acceptance by operator class (strict)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unmutated pass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human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0.380 (41/108)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0.610 (86/141)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llm_blind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0.300 (30/100)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0.248 (32/129)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llm_feedback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(0/96)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0.024 (3/123)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null_control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(108/108)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(141/141)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(6/6)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</w:tbl>
    <w:p/>
    <w:p>
      <w:pPr>
        <w:pStyle w:val="Heading3"/>
      </w:pPr>
      <w:r>
        <w:t>A.4 Budget sweep (A0)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tasks_per_category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entities bound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surfaces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single_turn share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54.5%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49.1%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50.5%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bfcl_ablation/run_a0.py   # then a1, a2, a3, a4, a5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bfcl_ablation/results/A0/metrics.json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19,892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sha256:e03997e5c50f5989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bfcl_ablation/results/A0/report.md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4,158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sha256:8c860dd7fa0e37d2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bfcl_ablation/results/A1/metrics.json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37,462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sha256:dadc946878e938fc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bfcl_ablation/results/A1/report.md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8,442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sha256:9c292d5c5f5a6b10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bfcl_ablation/results/A1/vs_a0_equivalence.json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3,276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sha256:df2fa6963c93af2f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323,046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sha256:1fa569a921b6962f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4,594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sha256:1b322e0fec0fa3e0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bfcl_ablation/results/A2_rerun/REPRODUCTION.md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5,419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sha256:d58af368609d68b3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bfcl_ablation/results/A2_rerun/baseline_hashes.txt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sha256:32f49767963fec7a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bfcl_ablation/results/A2_rerun/budget_sweep_24.json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432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sha256:17ad5147919228a9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bfcl_ablation/results/A2_rerun/driver.py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1,907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sha256:f71ab3551208b20a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bfcl_ablation/results/A2_rerun/driver2.py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2,652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sha256:3a6ee369de11c79f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323,051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sha256:84633a5379650d0c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4,594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sha256:3c781a86da4e3d82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bfcl_ablation/results/A2_rerun/run.log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6,355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sha256:4070738a5bb0cfc6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bfcl_ablation/results/A3/metrics.json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82,214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sha256:6493dced19cde690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bfcl_ablation/results/A3/report.md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10,218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sha256:ef24d886183e0949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134,306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sha256:54e8b6cc81d2421c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4,149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sha256:d878944509f58cdd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440,170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sha256:5c15c10e9f47ad38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12,108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sha256:ad0fc6e94c20d0e3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3,024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sha256:a2aae87fd0d34e7c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72,348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sha256:ed053c7d801c8afe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10,346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sha256:23eee3544c44497c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bfcl_ablation/results/budget_sweep.json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1,289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sha256:f5816043e262476a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10,346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sha256:23eee3544c44497c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