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BFCL Oracle-Pack Ablation — A0</w:t>
      </w:r>
    </w:p>
    <w:p>
      <w:r>
        <w:rPr>
          <w:b/>
          <w:sz w:val="28"/>
        </w:rPr>
        <w:t>Human baseline</w:t>
      </w:r>
    </w:p>
    <w:p>
      <w:r>
        <w:rPr>
          <w:i/>
          <w:color w:val="606A76"/>
        </w:rPr>
        <w:t>Measurement stage on the unmodified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Oracle pack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banking_vn (9 tools, 17 templates, 6 categories, 9 turn policies)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Pipeline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runtime/benchmark_families/bfcl, unmodified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Metric contract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Model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none — this arm is fully deterministic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Repository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Nemotron @ hoannguyen/BFCL</w:t>
            </w:r>
          </w:p>
        </w:tc>
      </w:tr>
    </w:tbl>
    <w:p/>
    <w:p>
      <w:pPr>
        <w:pStyle w:val="Heading1"/>
      </w:pPr>
      <w:r>
        <w:t>At a glance</w:t>
      </w:r>
    </w:p>
    <w:p>
      <w:r>
        <w:t>Each metric is defined in Part 1 and reported in full in Appendix A. The figures below are computed from the same result set the appendix reads.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measures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Authoring friction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Lines a person must write to stand up the pack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1642 lines; 17 templates, 6 categories, 9 policies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Joint (category x policy) distribution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Whether coverage of conversation shapes is a target or an accident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15/54 cells populated; single_turn 54.5%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Slot and fixture coverage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How much of the domain is exercised, including entities never touched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17/50 entities bound; 9/9 tools called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Utterance diversity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How many genuinely different sentences, as opposed to how many rows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33 tasks -&gt; 17 distinct slot-masked (1.0 per template)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Publish funnel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Where tasks drop out between expansion and publication, and why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33 -&gt; 33, nothing dropped; publish 100%, gold 100%</w:t>
            </w:r>
          </w:p>
        </w:tc>
      </w:tr>
    </w:tbl>
    <w:p/>
    <w:p>
      <w:r>
        <w:br w:type="page"/>
      </w:r>
    </w:p>
    <w:p>
      <w:pPr>
        <w:pStyle w:val="Heading1"/>
      </w:pPr>
      <w:r>
        <w:t>Part 1 — Method and metric definitions</w:t>
      </w:r>
    </w:p>
    <w:p>
      <w:r>
        <w:t>Shared by every arm of the ablation and reproduced here in full, so this report stands on its own and needs no other file to be read or checked.</w:t>
      </w:r>
    </w:p>
    <w:p>
      <w:r>
        <w:t xml:space="preserve">Every arm records the version it was computed under, as </w:t>
      </w:r>
      <w:r>
        <w:rPr>
          <w:rFonts w:ascii="Consolas" w:hAnsi="Consolas"/>
          <w:color w:val="24292E"/>
          <w:sz w:val="19"/>
        </w:rPr>
        <w:t>metrics_version</w:t>
      </w:r>
      <w:r>
        <w:t xml:space="preserve"> in its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. </w:t>
      </w:r>
      <w:r>
        <w:rPr>
          <w:b/>
        </w:rPr>
        <w:t>Arms recorded under different versions are not comparable.</w:t>
      </w:r>
      <w:r>
        <w:t xml:space="preserve"> A later ablation compares its distribution against A0's, so a silent change to how a metric is computed would present a definition change as a benchmark change.</w:t>
      </w:r>
    </w:p>
    <w:p>
      <w:r>
        <w:rPr>
          <w:b/>
        </w:rPr>
        <w:t>This is recorded, not enforced.</w:t>
      </w:r>
      <w:r>
        <w:t xml:space="preserve"> Every arm now stamps the field — A0, A1 and A3 through the shared measurement schema, and A2, A4, A5 and A6 explicitly, since those emit bespoke schemas. No code reads the stamps back or compares them, so a comparison across two different contracts would still run and still look fine. Closing that is a next step, not a solved problem.</w:t>
      </w:r>
    </w:p>
    <w:p>
      <w:r>
        <w:t xml:space="preserve">Bump the version on any behavioural edit to </w:t>
      </w:r>
      <w:r>
        <w:rPr>
          <w:rFonts w:ascii="Consolas" w:hAnsi="Consolas"/>
          <w:color w:val="24292E"/>
          <w:sz w:val="19"/>
        </w:rPr>
        <w:t>measurement/metrics.py</w:t>
      </w:r>
      <w:r>
        <w:t xml:space="preserve"> and add a row to the changelog at the bottom. Adding a </w:t>
      </w:r>
      <w:r>
        <w:rPr>
          <w:i/>
        </w:rPr>
        <w:t>new</w:t>
      </w:r>
      <w:r>
        <w:t xml:space="preserve"> metric does not require a bump; changing how an existing one is computed does.</w:t>
      </w:r>
    </w:p>
    <w:p>
      <w:r>
        <w:t xml:space="preserve">The machine-readable copy of the load-bearing definitions is emitted into every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 under </w:t>
      </w:r>
      <w:r>
        <w:rPr>
          <w:rFonts w:ascii="Consolas" w:hAnsi="Consolas"/>
          <w:color w:val="24292E"/>
          <w:sz w:val="19"/>
        </w:rPr>
        <w:t>definitions</w:t>
      </w:r>
      <w:r>
        <w:t>, so an artifact carries its own contract.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Authoring friction</w:t>
      </w:r>
    </w:p>
    <w:p>
      <w:r>
        <w:rPr>
          <w:b/>
        </w:rPr>
        <w:t>`loc_total`</w:t>
      </w:r>
      <w:r>
        <w:t xml:space="preserve"> — every line of every authored pack file plus the run config.</w:t>
      </w:r>
    </w:p>
    <w:p>
      <w:r>
        <w:t xml:space="preserve">Counted files: </w:t>
      </w:r>
      <w:r>
        <w:rPr>
          <w:rFonts w:ascii="Consolas" w:hAnsi="Consolas"/>
          <w:color w:val="24292E"/>
          <w:sz w:val="19"/>
        </w:rPr>
        <w:t>backend.py</w:t>
      </w:r>
      <w:r>
        <w:t xml:space="preserve">, </w:t>
      </w:r>
      <w:r>
        <w:rPr>
          <w:rFonts w:ascii="Consolas" w:hAnsi="Consolas"/>
          <w:color w:val="24292E"/>
          <w:sz w:val="19"/>
        </w:rPr>
        <w:t>task_templates.yaml</w:t>
      </w:r>
      <w:r>
        <w:t xml:space="preserve">, </w:t>
      </w:r>
      <w:r>
        <w:rPr>
          <w:rFonts w:ascii="Consolas" w:hAnsi="Consolas"/>
          <w:color w:val="24292E"/>
          <w:sz w:val="19"/>
        </w:rPr>
        <w:t>validation_cases.yaml</w:t>
      </w:r>
      <w:r>
        <w:t xml:space="preserve">, </w:t>
      </w:r>
      <w:r>
        <w:rPr>
          <w:rFonts w:ascii="Consolas" w:hAnsi="Consolas"/>
          <w:color w:val="24292E"/>
          <w:sz w:val="19"/>
        </w:rPr>
        <w:t>assertions.py</w:t>
      </w:r>
      <w:r>
        <w:t xml:space="preserve">, </w:t>
      </w:r>
      <w:r>
        <w:rPr>
          <w:rFonts w:ascii="Consolas" w:hAnsi="Consolas"/>
          <w:color w:val="24292E"/>
          <w:sz w:val="19"/>
        </w:rPr>
        <w:t>tools.json</w:t>
      </w:r>
      <w:r>
        <w:t xml:space="preserve">, </w:t>
      </w:r>
      <w:r>
        <w:rPr>
          <w:rFonts w:ascii="Consolas" w:hAnsi="Consolas"/>
          <w:color w:val="24292E"/>
          <w:sz w:val="19"/>
        </w:rPr>
        <w:t>fixtures.json</w:t>
      </w:r>
      <w:r>
        <w:t xml:space="preserve">, </w:t>
      </w:r>
      <w:r>
        <w:rPr>
          <w:rFonts w:ascii="Consolas" w:hAnsi="Consolas"/>
          <w:color w:val="24292E"/>
          <w:sz w:val="19"/>
        </w:rPr>
        <w:t>manifest.yaml</w:t>
      </w:r>
      <w:r>
        <w:t>, and the generated run config.</w:t>
      </w:r>
    </w:p>
    <w:p>
      <w:r>
        <w:t xml:space="preserve">Blank lines and comment-only lines </w:t>
      </w:r>
      <w:r>
        <w:rPr>
          <w:b/>
        </w:rPr>
        <w:t>count</w:t>
      </w:r>
      <w:r>
        <w:t>. They are part of what an author reads and maintains, and excluding them would flatter whichever arm happens to be less commented.</w:t>
      </w:r>
    </w:p>
    <w:p>
      <w:r>
        <w:t xml:space="preserve">For an arm that shrinks the pack (A1), LOC is measured on the </w:t>
      </w:r>
      <w:r>
        <w:rPr>
          <w:b/>
        </w:rPr>
        <w:t>authored</w:t>
      </w:r>
      <w:r>
        <w:t xml:space="preserve"> pack — what a person writes — not on the rehydrated pack the pipeline reads. Measuring the rehydrated pack would report zero saving.</w:t>
      </w:r>
    </w:p>
    <w:p>
      <w:r>
        <w:t xml:space="preserve">For an arm whose pack a model wrote (A3), LOC is </w:t>
      </w:r>
      <w:r>
        <w:rPr>
          <w:b/>
        </w:rPr>
        <w:t>not</w:t>
      </w:r>
      <w:r>
        <w:t xml:space="preserve"> human friction and must not be compared against A0/A1 as if it were.</w:t>
      </w:r>
    </w:p>
    <w:p>
      <w:pPr>
        <w:pStyle w:val="Heading2"/>
      </w:pPr>
      <w:r>
        <w:t>Distribution</w:t>
      </w:r>
    </w:p>
    <w:p>
      <w:r>
        <w:rPr>
          <w:b/>
        </w:rPr>
        <w:t>joint `(category × policy)` matrix</w:t>
      </w:r>
      <w:r>
        <w:t xml:space="preserve"> — task count per cell.</w:t>
      </w:r>
    </w:p>
    <w:p>
      <w:r>
        <w:t>An empty cell is classified:</w:t>
      </w:r>
    </w:p>
    <w:p>
      <w:pPr>
        <w:pStyle w:val="ListBullet"/>
      </w:pPr>
      <w:r>
        <w:rPr>
          <w:rFonts w:ascii="Consolas" w:hAnsi="Consolas"/>
          <w:color w:val="24292E"/>
          <w:sz w:val="19"/>
        </w:rPr>
        <w:t>empty_structural</w:t>
      </w:r>
      <w:r>
        <w:t xml:space="preserve"> — no tool in the category's tool universe can satisfy the policy</w:t>
      </w:r>
    </w:p>
    <w:p>
      <w:pPr>
        <w:pStyle w:val="ListBullet"/>
      </w:pPr>
      <w:r>
        <w:rPr>
          <w:rFonts w:ascii="Consolas" w:hAnsi="Consolas"/>
          <w:color w:val="24292E"/>
          <w:sz w:val="19"/>
        </w:rPr>
        <w:t>empty_unwritten</w:t>
      </w:r>
      <w:r>
        <w:t xml:space="preserve"> — feasible, nobody wrote one</w:t>
      </w:r>
    </w:p>
    <w:p>
      <w:r>
        <w:t xml:space="preserve">The classification is </w:t>
      </w:r>
      <w:r>
        <w:rPr>
          <w:b/>
        </w:rPr>
        <w:t>derived, never declared</w:t>
      </w:r>
      <w:r>
        <w:t>, so a coverage gap cannot be hidden by calling a cell empty. Rules per policy: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policy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feasible when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clarify_only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irrelevant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always — needs no tool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confirmation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some tool in the universe carries </w:t>
            </w:r>
            <w:r>
              <w:rPr>
                <w:rFonts w:ascii="Consolas" w:hAnsi="Consolas"/>
                <w:color w:val="24292E"/>
                <w:sz w:val="18"/>
              </w:rPr>
              <w:t>x-requires-confirmation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multi_tool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the universe holds ≥2 tools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dependent_call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tool returns a value another one requires (producer/consumer edges probed from the backend where available; otherwise falls back to ≥2 tools, which is weaker)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missing_slot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correction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tool takes a parameter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negative_path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parameter can carry a failing value</w:t>
            </w:r>
          </w:p>
        </w:tc>
      </w:tr>
    </w:tbl>
    <w:p/>
    <w:p>
      <w:r>
        <w:rPr>
          <w:b/>
        </w:rPr>
        <w:t>Known limitation.</w:t>
      </w:r>
      <w:r>
        <w:t xml:space="preserve"> The category's tool universe defaults to the union of </w:t>
      </w:r>
      <w:r>
        <w:rPr>
          <w:rFonts w:ascii="Consolas" w:hAnsi="Consolas"/>
          <w:color w:val="24292E"/>
          <w:sz w:val="19"/>
        </w:rPr>
        <w:t>tools_present</w:t>
      </w:r>
      <w:r>
        <w:t xml:space="preserve"> across the templates that category already has, which is circular for a category nobody wrote templates for. An arm that declares its universes up front passes them in and escapes the circle; A3 does this, A0 cannot.</w:t>
      </w:r>
    </w:p>
    <w:p>
      <w:pPr>
        <w:pStyle w:val="Heading2"/>
      </w:pPr>
      <w:r>
        <w:t>Coverage</w:t>
      </w:r>
    </w:p>
    <w:p>
      <w:r>
        <w:rPr>
          <w:b/>
        </w:rPr>
        <w:t>`fixture_entities_bound`</w:t>
      </w:r>
      <w:r>
        <w:t xml:space="preserve"> — a fixture row counts as bound when its primary key value appears in some task's </w:t>
      </w:r>
      <w:r>
        <w:rPr>
          <w:rFonts w:ascii="Consolas" w:hAnsi="Consolas"/>
          <w:color w:val="24292E"/>
          <w:sz w:val="19"/>
        </w:rPr>
        <w:t>fixture_refs</w:t>
      </w:r>
      <w:r>
        <w:t>.</w:t>
      </w:r>
    </w:p>
    <w:p>
      <w:r>
        <w:rPr>
          <w:b/>
        </w:rPr>
        <w:t>`entities_never_bound`</w:t>
      </w:r>
      <w:r>
        <w:t xml:space="preserve"> — rows in a referenced collection that no task ever bound.</w:t>
      </w:r>
    </w:p>
    <w:p>
      <w:r>
        <w:rPr>
          <w:b/>
        </w:rPr>
        <w:t>Known limitation.</w:t>
      </w:r>
      <w:r>
        <w:t xml:space="preserve"> This does not yet separate </w:t>
      </w:r>
      <w:r>
        <w:rPr>
          <w:i/>
        </w:rPr>
        <w:t>not covered yet</w:t>
      </w:r>
      <w:r>
        <w:t xml:space="preserve"> from </w:t>
      </w:r>
      <w:r>
        <w:rPr>
          <w:i/>
        </w:rPr>
        <w:t>cannot be covered</w:t>
      </w:r>
      <w:r>
        <w:t xml:space="preserve">. In </w:t>
      </w:r>
      <w:r>
        <w:rPr>
          <w:rFonts w:ascii="Consolas" w:hAnsi="Consolas"/>
          <w:color w:val="24292E"/>
          <w:sz w:val="19"/>
        </w:rPr>
        <w:t>banking_vn</w:t>
      </w:r>
      <w:r>
        <w:t>, 12 of 50 rows (</w:t>
      </w:r>
      <w:r>
        <w:rPr>
          <w:rFonts w:ascii="Consolas" w:hAnsi="Consolas"/>
          <w:color w:val="24292E"/>
          <w:sz w:val="19"/>
        </w:rPr>
        <w:t>transfers</w:t>
      </w:r>
      <w:r>
        <w:t xml:space="preserve">, </w:t>
      </w:r>
      <w:r>
        <w:rPr>
          <w:rFonts w:ascii="Consolas" w:hAnsi="Consolas"/>
          <w:color w:val="24292E"/>
          <w:sz w:val="19"/>
        </w:rPr>
        <w:t>fee_schedule</w:t>
      </w:r>
      <w:r>
        <w:t xml:space="preserve">, </w:t>
      </w:r>
      <w:r>
        <w:rPr>
          <w:rFonts w:ascii="Consolas" w:hAnsi="Consolas"/>
          <w:color w:val="24292E"/>
          <w:sz w:val="19"/>
        </w:rPr>
        <w:t>transfer_scenarios</w:t>
      </w:r>
      <w:r>
        <w:t>) are bound by no slot in any template — they are backend state, not task subjects — so the real ceiling is 38. Reported coverage is against 50.</w:t>
      </w:r>
    </w:p>
    <w:p>
      <w:r>
        <w:rPr>
          <w:b/>
        </w:rPr>
        <w:t>`tools_never_called`</w:t>
      </w:r>
      <w:r>
        <w:t xml:space="preserve"> — declared tools absent from every expected trace.</w:t>
      </w:r>
    </w:p>
    <w:p>
      <w:pPr>
        <w:pStyle w:val="Heading2"/>
      </w:pPr>
      <w:r>
        <w:t>Surface diversity</w:t>
      </w:r>
    </w:p>
    <w:p>
      <w:r>
        <w:rPr>
          <w:b/>
        </w:rPr>
        <w:t>`distinct_masked`</w:t>
      </w:r>
      <w:r>
        <w:t xml:space="preserve"> — cardinality of the set of slot-masked opening user turns.</w:t>
      </w:r>
    </w:p>
    <w:p>
      <w:r>
        <w:rPr>
          <w:b/>
        </w:rPr>
        <w:t>Masking rule (the load-bearing definition):</w:t>
      </w:r>
    </w:p>
    <w:p>
      <w:pPr>
        <w:ind w:left="480"/>
      </w:pPr>
      <w:r>
        <w:rPr>
          <w:i/>
        </w:rPr>
        <w:t xml:space="preserve">Replace each bound slot value with </w:t>
      </w:r>
      <w:r>
        <w:rPr>
          <w:rFonts w:ascii="Consolas" w:hAnsi="Consolas"/>
          <w:i/>
          <w:color w:val="24292E"/>
          <w:sz w:val="19"/>
        </w:rPr>
        <w:t>{slot_name}</w:t>
      </w:r>
      <w:r>
        <w:rPr>
          <w:i/>
        </w:rPr>
        <w:t xml:space="preserve"> by </w:t>
      </w:r>
      <w:r>
        <w:rPr>
          <w:b/>
          <w:i/>
        </w:rPr>
        <w:t>exact substring match</w:t>
      </w:r>
      <w:r>
        <w:rPr>
          <w:i/>
        </w:rPr>
        <w:t xml:space="preserve">, </w:t>
      </w:r>
      <w:r>
        <w:rPr>
          <w:b/>
          <w:i/>
        </w:rPr>
        <w:t>longest value first</w:t>
      </w:r>
      <w:r>
        <w:rPr>
          <w:i/>
        </w:rPr>
        <w:t>. No case folding. No diacritic folding. No punctuation stripping. No tokenisation.</w:t>
      </w:r>
    </w:p>
    <w:p>
      <w:r>
        <w:t>Longest-first prevents a value that contains another from being partly rewritten. Masking by the bound value rather than by a regex over id-shaped tokens is what makes the count trustworthy: two tasks differing only by account id collapse to one sentence, which is exactly the property being measured.</w:t>
      </w:r>
    </w:p>
    <w:p>
      <w:r>
        <w:t xml:space="preserve">Diacritics are deliberately </w:t>
      </w:r>
      <w:r>
        <w:rPr>
          <w:b/>
        </w:rPr>
        <w:t>not</w:t>
      </w:r>
      <w:r>
        <w:t xml:space="preserve"> folded. The pack is Vietnamese, and folding would merge genuinely different surfaces.</w:t>
      </w:r>
    </w:p>
    <w:p>
      <w:r>
        <w:rPr>
          <w:b/>
        </w:rPr>
        <w:t>`surfaces_per_template`</w:t>
      </w:r>
      <w:r>
        <w:t xml:space="preserve"> — </w:t>
      </w:r>
      <w:r>
        <w:rPr>
          <w:rFonts w:ascii="Consolas" w:hAnsi="Consolas"/>
          <w:color w:val="24292E"/>
          <w:sz w:val="19"/>
        </w:rPr>
        <w:t>distinct_masked / template_count</w:t>
      </w:r>
      <w:r>
        <w:t>.</w:t>
      </w:r>
    </w:p>
    <w:p>
      <w:r>
        <w:rPr>
          <w:b/>
        </w:rPr>
        <w:t>Ceiling.</w:t>
      </w:r>
      <w:r>
        <w:t xml:space="preserve"> With </w:t>
      </w:r>
      <w:r>
        <w:rPr>
          <w:rFonts w:ascii="Consolas" w:hAnsi="Consolas"/>
          <w:color w:val="24292E"/>
          <w:sz w:val="19"/>
        </w:rPr>
        <w:t>N</w:t>
      </w:r>
      <w:r>
        <w:t xml:space="preserve"> variants per template, distinct masked surfaces cannot exceed </w:t>
      </w:r>
      <w:r>
        <w:rPr>
          <w:rFonts w:ascii="Consolas" w:hAnsi="Consolas"/>
          <w:color w:val="24292E"/>
          <w:sz w:val="19"/>
        </w:rPr>
        <w:t>Σ_template min(N, tasks_for_that_template)</w:t>
      </w:r>
      <w:r>
        <w:t>. Any A2 rung should be read against its ceiling, not against the previous rung.</w:t>
      </w:r>
    </w:p>
    <w:p>
      <w:r>
        <w:rPr>
          <w:b/>
        </w:rPr>
        <w:t>Lexical-shortcut probe</w:t>
      </w:r>
      <w:r>
        <w:t xml:space="preserve"> — reported as </w:t>
      </w:r>
      <w:r>
        <w:rPr>
          <w:i/>
        </w:rPr>
        <w:t>not runnable</w:t>
      </w:r>
      <w:r>
        <w:t xml:space="preserve"> when there is one surface per template, rather than reported as a number. A generalization gap needs held-out phrasings of the same intent. When run, it must mask slot values before training, or the probe learns the </w:t>
      </w:r>
      <w:r>
        <w:rPr>
          <w:rFonts w:ascii="Consolas" w:hAnsi="Consolas"/>
          <w:color w:val="24292E"/>
          <w:sz w:val="19"/>
        </w:rPr>
        <w:t>ACC-</w:t>
      </w:r>
      <w:r>
        <w:t xml:space="preserve"> prefix rather than the phrasing, and split by </w:t>
      </w:r>
      <w:r>
        <w:rPr>
          <w:b/>
        </w:rPr>
        <w:t>variant</w:t>
      </w:r>
      <w:r>
        <w:t xml:space="preserve"> rather than by task so the same phrasing cannot appear on both sides.</w:t>
      </w:r>
    </w:p>
    <w:p>
      <w:pPr>
        <w:pStyle w:val="Heading2"/>
      </w:pPr>
      <w:r>
        <w:t>Publish funnel</w:t>
      </w:r>
    </w:p>
    <w:p>
      <w:r>
        <w:t xml:space="preserve">Stages, in pipeline order: </w:t>
      </w:r>
      <w:r>
        <w:rPr>
          <w:rFonts w:ascii="Consolas" w:hAnsi="Consolas"/>
          <w:color w:val="24292E"/>
          <w:sz w:val="19"/>
        </w:rPr>
        <w:t>expand</w:t>
      </w:r>
      <w:r>
        <w:t xml:space="preserve">, </w:t>
      </w:r>
      <w:r>
        <w:rPr>
          <w:rFonts w:ascii="Consolas" w:hAnsi="Consolas"/>
          <w:color w:val="24292E"/>
          <w:sz w:val="19"/>
        </w:rPr>
        <w:t>state_machine</w:t>
      </w:r>
      <w:r>
        <w:t xml:space="preserve">, </w:t>
      </w:r>
      <w:r>
        <w:rPr>
          <w:rFonts w:ascii="Consolas" w:hAnsi="Consolas"/>
          <w:color w:val="24292E"/>
          <w:sz w:val="19"/>
        </w:rPr>
        <w:t>render_accepted</w:t>
      </w:r>
      <w:r>
        <w:t xml:space="preserve">, </w:t>
      </w:r>
      <w:r>
        <w:rPr>
          <w:rFonts w:ascii="Consolas" w:hAnsi="Consolas"/>
          <w:color w:val="24292E"/>
          <w:sz w:val="19"/>
        </w:rPr>
        <w:t>expected_trace_derived</w:t>
      </w:r>
      <w:r>
        <w:t xml:space="preserve">, </w:t>
      </w:r>
      <w:r>
        <w:rPr>
          <w:rFonts w:ascii="Consolas" w:hAnsi="Consolas"/>
          <w:color w:val="24292E"/>
          <w:sz w:val="19"/>
        </w:rPr>
        <w:t>schema_valid</w:t>
      </w:r>
      <w:r>
        <w:t xml:space="preserve">, </w:t>
      </w:r>
      <w:r>
        <w:rPr>
          <w:rFonts w:ascii="Consolas" w:hAnsi="Consolas"/>
          <w:color w:val="24292E"/>
          <w:sz w:val="19"/>
        </w:rPr>
        <w:t>replay_valid</w:t>
      </w:r>
      <w:r>
        <w:t xml:space="preserve">, </w:t>
      </w:r>
      <w:r>
        <w:rPr>
          <w:rFonts w:ascii="Consolas" w:hAnsi="Consolas"/>
          <w:color w:val="24292E"/>
          <w:sz w:val="19"/>
        </w:rPr>
        <w:t>benchmark_raw</w:t>
      </w:r>
      <w:r>
        <w:t xml:space="preserve">, </w:t>
      </w:r>
      <w:r>
        <w:rPr>
          <w:rFonts w:ascii="Consolas" w:hAnsi="Consolas"/>
          <w:color w:val="24292E"/>
          <w:sz w:val="19"/>
        </w:rPr>
        <w:t>published</w:t>
      </w:r>
      <w:r>
        <w:t>.</w:t>
      </w:r>
    </w:p>
    <w:p>
      <w:r>
        <w:t xml:space="preserve">Each stage reports </w:t>
      </w:r>
      <w:r>
        <w:rPr>
          <w:rFonts w:ascii="Consolas" w:hAnsi="Consolas"/>
          <w:color w:val="24292E"/>
          <w:sz w:val="19"/>
        </w:rPr>
        <w:t>rows</w:t>
      </w:r>
      <w:r>
        <w:t xml:space="preserve">, </w:t>
      </w:r>
      <w:r>
        <w:rPr>
          <w:rFonts w:ascii="Consolas" w:hAnsi="Consolas"/>
          <w:color w:val="24292E"/>
          <w:sz w:val="19"/>
        </w:rPr>
        <w:t>survival_from_expand</w:t>
      </w:r>
      <w:r>
        <w:t xml:space="preserve">, </w:t>
      </w:r>
      <w:r>
        <w:rPr>
          <w:rFonts w:ascii="Consolas" w:hAnsi="Consolas"/>
          <w:color w:val="24292E"/>
          <w:sz w:val="19"/>
        </w:rPr>
        <w:t>lost_here</w:t>
      </w:r>
      <w:r>
        <w:t xml:space="preserve">, and </w:t>
      </w:r>
      <w:r>
        <w:rPr>
          <w:b/>
        </w:rPr>
        <w:t>`drop_reasons`</w:t>
      </w:r>
      <w:r>
        <w:t xml:space="preserve"> — a breakdown of </w:t>
      </w:r>
      <w:r>
        <w:rPr>
          <w:i/>
        </w:rPr>
        <w:t>why</w:t>
      </w:r>
      <w:r>
        <w:t xml:space="preserve"> rows were lost at that stage, read from the stage's own reason column (</w:t>
      </w:r>
      <w:r>
        <w:rPr>
          <w:rFonts w:ascii="Consolas" w:hAnsi="Consolas"/>
          <w:color w:val="24292E"/>
          <w:sz w:val="19"/>
        </w:rPr>
        <w:t>guard_violations</w:t>
      </w:r>
      <w:r>
        <w:t xml:space="preserve">, </w:t>
      </w:r>
      <w:r>
        <w:rPr>
          <w:rFonts w:ascii="Consolas" w:hAnsi="Consolas"/>
          <w:color w:val="24292E"/>
          <w:sz w:val="19"/>
        </w:rPr>
        <w:t>drop_reason</w:t>
      </w:r>
      <w:r>
        <w:t xml:space="preserve">, </w:t>
      </w:r>
      <w:r>
        <w:rPr>
          <w:rFonts w:ascii="Consolas" w:hAnsi="Consolas"/>
          <w:color w:val="24292E"/>
          <w:sz w:val="19"/>
        </w:rPr>
        <w:t>reject_reason</w:t>
      </w:r>
      <w:r>
        <w:t xml:space="preserve">, </w:t>
      </w:r>
      <w:r>
        <w:rPr>
          <w:rFonts w:ascii="Consolas" w:hAnsi="Consolas"/>
          <w:color w:val="24292E"/>
          <w:sz w:val="19"/>
        </w:rPr>
        <w:t>reason</w:t>
      </w:r>
      <w:r>
        <w:t>/</w:t>
      </w:r>
      <w:r>
        <w:rPr>
          <w:rFonts w:ascii="Consolas" w:hAnsi="Consolas"/>
          <w:color w:val="24292E"/>
          <w:sz w:val="19"/>
        </w:rPr>
        <w:t>detail</w:t>
      </w:r>
      <w:r>
        <w:t>). A single publish rate cannot be interpreted without it.</w:t>
      </w:r>
    </w:p>
    <w:p>
      <w:r>
        <w:rPr>
          <w:b/>
        </w:rPr>
        <w:t>`publish_rate`</w:t>
      </w:r>
      <w:r>
        <w:t xml:space="preserve"> — published rows / expanded task instances.</w:t>
      </w:r>
    </w:p>
    <w:p>
      <w:r>
        <w:rPr>
          <w:b/>
        </w:rPr>
        <w:t>`gold_rate`</w:t>
      </w:r>
      <w:r>
        <w:t xml:space="preserve"> — published rows carrying </w:t>
      </w:r>
      <w:r>
        <w:rPr>
          <w:rFonts w:ascii="Consolas" w:hAnsi="Consolas"/>
          <w:color w:val="24292E"/>
          <w:sz w:val="19"/>
        </w:rPr>
        <w:t>gold_eligible</w:t>
      </w:r>
      <w:r>
        <w:t xml:space="preserve"> / published rows.</w:t>
      </w:r>
    </w:p>
    <w:p>
      <w:r>
        <w:rPr>
          <w:b/>
        </w:rPr>
        <w:t>Interpretation warning.</w:t>
      </w:r>
      <w:r>
        <w:t xml:space="preserve"> A0 measured 100% publish at every budget, and A4 measured a 61% argument-level false-acceptance rate in the assertions that gate it. Publish rate and gold are therefore </w:t>
      </w:r>
      <w:r>
        <w:rPr>
          <w:b/>
        </w:rPr>
        <w:t>not quality readouts</w:t>
      </w:r>
      <w:r>
        <w:t xml:space="preserve"> on this pack. Report them as throughput, and report false-acceptance rate per operator class as the quality readout.</w:t>
      </w:r>
    </w:p>
    <w:p>
      <w:pPr>
        <w:pStyle w:val="Heading2"/>
      </w:pPr>
      <w:r>
        <w:t>Equivalence (A1 and any arm claiming to preserve ground truth)</w:t>
      </w:r>
    </w:p>
    <w:p>
      <w:r>
        <w:t xml:space="preserve">Five checks, all must pass for </w:t>
      </w:r>
      <w:r>
        <w:rPr>
          <w:rFonts w:ascii="Consolas" w:hAnsi="Consolas"/>
          <w:color w:val="24292E"/>
          <w:sz w:val="19"/>
        </w:rPr>
        <w:t>EQUIVALENT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proves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set(task_id)</w:t>
            </w:r>
            <w:r>
              <w:rPr>
                <w:sz w:val="18"/>
              </w:rPr>
              <w:t xml:space="preserve"> equal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arms bound the same records to the same slots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expected_tool_calls</w:t>
            </w:r>
            <w:r>
              <w:rPr>
                <w:sz w:val="18"/>
              </w:rPr>
              <w:t xml:space="preserve"> equal, element-wise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assert the same calls with the same arguments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conversation_plans</w:t>
            </w:r>
            <w:r>
              <w:rPr>
                <w:sz w:val="18"/>
              </w:rPr>
              <w:t xml:space="preserve"> equal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compile the same conversation shape — the milestone check the other two cannot see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validation-case coverage held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every </w:t>
            </w:r>
            <w:r>
              <w:rPr>
                <w:rFonts w:ascii="Consolas" w:hAnsi="Consolas"/>
                <w:color w:val="24292E"/>
                <w:sz w:val="18"/>
              </w:rPr>
              <w:t>(tool, outcome class)</w:t>
            </w:r>
            <w:r>
              <w:rPr>
                <w:sz w:val="18"/>
              </w:rPr>
              <w:t xml:space="preserve"> pair A0 probed is still probed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opening user turn identical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the request the model is scored on is unchanged</w:t>
            </w:r>
          </w:p>
        </w:tc>
      </w:tr>
    </w:tbl>
    <w:p/>
    <w:p>
      <w:r>
        <w:rPr>
          <w:rFonts w:ascii="Consolas" w:hAnsi="Consolas"/>
          <w:color w:val="24292E"/>
          <w:sz w:val="19"/>
        </w:rPr>
        <w:t>task_id</w:t>
      </w:r>
      <w:r>
        <w:t xml:space="preserve"> is content-addressed over </w:t>
      </w:r>
      <w:r>
        <w:rPr>
          <w:rFonts w:ascii="Consolas" w:hAnsi="Consolas"/>
          <w:color w:val="24292E"/>
          <w:sz w:val="19"/>
        </w:rPr>
        <w:t>(pack_id, pack_version, template_id, sorted(fixture_refs), slot_bindings, variant_index)</w:t>
      </w:r>
      <w:r>
        <w:t xml:space="preserve"> — it does </w:t>
      </w:r>
      <w:r>
        <w:rPr>
          <w:b/>
        </w:rPr>
        <w:t>not</w:t>
      </w:r>
      <w:r>
        <w:t xml:space="preserve"> cover </w:t>
      </w:r>
      <w:r>
        <w:rPr>
          <w:rFonts w:ascii="Consolas" w:hAnsi="Consolas"/>
          <w:color w:val="24292E"/>
          <w:sz w:val="19"/>
        </w:rPr>
        <w:t>assistant_milestones</w:t>
      </w:r>
      <w:r>
        <w:t xml:space="preserve">, which is why the third check exists. The plan projection in </w:t>
      </w:r>
      <w:r>
        <w:rPr>
          <w:rFonts w:ascii="Consolas" w:hAnsi="Consolas"/>
          <w:color w:val="24292E"/>
          <w:sz w:val="19"/>
        </w:rPr>
        <w:t>conversation_plans.steps</w:t>
      </w:r>
      <w:r>
        <w:t xml:space="preserve"> already excludes </w:t>
      </w:r>
      <w:r>
        <w:rPr>
          <w:rFonts w:ascii="Consolas" w:hAnsi="Consolas"/>
          <w:color w:val="24292E"/>
          <w:sz w:val="19"/>
        </w:rPr>
        <w:t>content_template</w:t>
      </w:r>
      <w:r>
        <w:t>, so no further normalization is applied.</w:t>
      </w:r>
    </w:p>
    <w:p>
      <w:r>
        <w:t xml:space="preserve">Reworded </w:t>
      </w:r>
      <w:r>
        <w:rPr>
          <w:b/>
        </w:rPr>
        <w:t>later</w:t>
      </w:r>
      <w:r>
        <w:t xml:space="preserve"> turns are reported, not failed: A1 moves simulator replies to pack-wide canonical templates by design.</w:t>
      </w:r>
    </w:p>
    <w:p>
      <w:pPr>
        <w:pStyle w:val="Heading2"/>
      </w:pPr>
      <w:r>
        <w:t>Assertion strength (A4)</w:t>
      </w:r>
    </w:p>
    <w:p>
      <w:r>
        <w:rPr>
          <w:b/>
        </w:rPr>
        <w:t>`false_acceptance_rate`</w:t>
      </w:r>
      <w:r>
        <w:t xml:space="preserve"> — mutated episodes the assertion accepted / mutations tried. Reported </w:t>
      </w:r>
      <w:r>
        <w:rPr>
          <w:b/>
        </w:rPr>
        <w:t>per operator class</w:t>
      </w:r>
      <w:r>
        <w:t xml:space="preserve"> and per assertion. Never as a single aggregate: the aggregate hides a suite that is strong at call level and blind at argument level, which is the actual finding on this pack.</w:t>
      </w:r>
    </w:p>
    <w:p>
      <w:r>
        <w:rPr>
          <w:b/>
        </w:rPr>
        <w:t>strict vs advisory.</w:t>
      </w:r>
      <w:r>
        <w:t xml:space="preserve"> An operator is advisory only when an assertion that accepts its output is behaving </w:t>
      </w:r>
      <w:r>
        <w:rPr>
          <w:i/>
        </w:rPr>
        <w:t>correctly</w:t>
      </w:r>
      <w:r>
        <w:t xml:space="preserve">. Currently advisory: </w:t>
      </w:r>
      <w:r>
        <w:rPr>
          <w:rFonts w:ascii="Consolas" w:hAnsi="Consolas"/>
          <w:color w:val="24292E"/>
          <w:sz w:val="19"/>
        </w:rPr>
        <w:t>duplicate_call_readonly</w:t>
      </w:r>
      <w:r>
        <w:t xml:space="preserve"> (repeating an idempotent read is wasteful, not wrong). Everything else is strict, including </w:t>
      </w:r>
      <w:r>
        <w:rPr>
          <w:rFonts w:ascii="Consolas" w:hAnsi="Consolas"/>
          <w:color w:val="24292E"/>
          <w:sz w:val="19"/>
        </w:rPr>
        <w:t>inject_extra_call</w:t>
      </w:r>
      <w:r>
        <w:t xml:space="preserve"> — reading a record the user never asked about is a real defect.</w:t>
      </w:r>
    </w:p>
    <w:p>
      <w:r>
        <w:t>A mutation that makes an assertion raise a non-</w:t>
      </w:r>
      <w:r>
        <w:rPr>
          <w:rFonts w:ascii="Consolas" w:hAnsi="Consolas"/>
          <w:color w:val="24292E"/>
          <w:sz w:val="19"/>
        </w:rPr>
        <w:t>AssertionError</w:t>
      </w:r>
      <w:r>
        <w:t xml:space="preserve"> is counted as a </w:t>
      </w:r>
      <w:r>
        <w:rPr>
          <w:b/>
        </w:rPr>
        <w:t>crash</w:t>
      </w:r>
      <w:r>
        <w:t>, tracked separately from a detection.</w:t>
      </w:r>
    </w:p>
    <w:p>
      <w:r>
        <w:rPr>
          <w:b/>
        </w:rPr>
        <w:t>`null_control`</w:t>
      </w:r>
      <w:r>
        <w:t xml:space="preserve"> — an empty assertion suite, which must score 1.000 everywhere. It validates the harness; a null control below 1.000 means mutations are not reaching the assertion.</w:t>
      </w:r>
    </w:p>
    <w:p>
      <w:pPr>
        <w:pStyle w:val="Heading2"/>
      </w:pPr>
      <w:r>
        <w:t>Backend falsifiability (A6)</w:t>
      </w:r>
    </w:p>
    <w:p>
      <w:r>
        <w:rPr>
          <w:b/>
        </w:rPr>
        <w:t>`blind_rate`</w:t>
      </w:r>
      <w:r>
        <w:t xml:space="preserve"> — of the mutants of </w:t>
      </w:r>
      <w:r>
        <w:rPr>
          <w:rFonts w:ascii="Consolas" w:hAnsi="Consolas"/>
          <w:color w:val="24292E"/>
          <w:sz w:val="19"/>
        </w:rPr>
        <w:t>backend.py</w:t>
      </w:r>
      <w:r>
        <w:t xml:space="preserve"> whose effect is </w:t>
      </w:r>
      <w:r>
        <w:rPr>
          <w:i/>
        </w:rPr>
        <w:t>observable</w:t>
      </w:r>
      <w:r>
        <w:t xml:space="preserve"> on an input the pack supplies, the share that every check the pack ships accepted. This is the arm's headline.</w:t>
      </w:r>
    </w:p>
    <w:p>
      <w:r>
        <w:rPr>
          <w:b/>
        </w:rPr>
        <w:t>Observable</w:t>
      </w:r>
      <w:r>
        <w:t xml:space="preserve"> is decided by a differential replay against the unmutated backend: if a mutant changes any per-call result or the final state on A0's replayed traces, it is observable. That comparison is a </w:t>
      </w:r>
      <w:r>
        <w:rPr>
          <w:b/>
        </w:rPr>
        <w:t>reference this arm adds, not a check the pack ships</w:t>
      </w:r>
      <w:r>
        <w:t xml:space="preserve"> — nothing in the pack states what a tool should return — so a mutant caught only by it counts toward </w:t>
      </w:r>
      <w:r>
        <w:rPr>
          <w:rFonts w:ascii="Consolas" w:hAnsi="Consolas"/>
          <w:color w:val="24292E"/>
          <w:sz w:val="19"/>
        </w:rPr>
        <w:t>blind_rate</w:t>
      </w:r>
      <w:r>
        <w:t>.</w:t>
      </w:r>
    </w:p>
    <w:p>
      <w:r>
        <w:rPr>
          <w:b/>
        </w:rPr>
        <w:t>Do not report the raw survival count as the headline.</w:t>
      </w:r>
      <w:r>
        <w:t xml:space="preserve"> A mutant that survives every layer is usually one no task and no validation case executes, which measures </w:t>
      </w:r>
      <w:r>
        <w:rPr>
          <w:i/>
        </w:rPr>
        <w:t>coverage</w:t>
      </w:r>
      <w:r>
        <w:t xml:space="preserve">, not </w:t>
      </w:r>
      <w:r>
        <w:rPr>
          <w:i/>
        </w:rPr>
        <w:t>checking</w:t>
      </w:r>
      <w:r>
        <w:t xml:space="preserve">. Survivors must be triaged into </w:t>
      </w:r>
      <w:r>
        <w:rPr>
          <w:rFonts w:ascii="Consolas" w:hAnsi="Consolas"/>
          <w:color w:val="24292E"/>
          <w:sz w:val="19"/>
        </w:rPr>
        <w:t>equivalent</w:t>
      </w:r>
      <w:r>
        <w:t xml:space="preserve"> (no input could observe the edit), </w:t>
      </w:r>
      <w:r>
        <w:rPr>
          <w:rFonts w:ascii="Consolas" w:hAnsi="Consolas"/>
          <w:color w:val="24292E"/>
          <w:sz w:val="19"/>
        </w:rPr>
        <w:t>unreachable</w:t>
      </w:r>
      <w:r>
        <w:t xml:space="preserve"> (observable in principle, but not on any input the pack supplies) and </w:t>
      </w:r>
      <w:r>
        <w:rPr>
          <w:rFonts w:ascii="Consolas" w:hAnsi="Consolas"/>
          <w:color w:val="24292E"/>
          <w:sz w:val="19"/>
        </w:rPr>
        <w:t>real_gap</w:t>
      </w:r>
      <w:r>
        <w:t xml:space="preserve"> (observable on a supplied input, and every shipped check passed) before any rate is quoted. The triage is recorded in </w:t>
      </w:r>
      <w:r>
        <w:rPr>
          <w:rFonts w:ascii="Consolas" w:hAnsi="Consolas"/>
          <w:color w:val="24292E"/>
          <w:sz w:val="19"/>
        </w:rPr>
        <w:t>results/A6/triage.json</w:t>
      </w:r>
      <w:r>
        <w:t>.</w:t>
      </w:r>
    </w:p>
    <w:p>
      <w:r>
        <w:rPr>
          <w:b/>
        </w:rPr>
        <w:t>`first_killing_layer`</w:t>
      </w:r>
      <w:r>
        <w:t xml:space="preserve"> — the cheapest layer that rejected the mutant, over the fixed ladder import → validation cases → traces → assertions → oracle validation → full pipeline. Reported as a histogram, and always alongside which layers ship with the pack and which do not.</w:t>
      </w:r>
    </w:p>
    <w:p>
      <w:pPr>
        <w:pStyle w:val="Heading2"/>
      </w:pPr>
      <w:r>
        <w:t>Solve accuracy across wordings (A5)</w:t>
      </w:r>
    </w:p>
    <w:p>
      <w:r>
        <w:t xml:space="preserve">Every metric above describes the benchmark. These describe a </w:t>
      </w:r>
      <w:r>
        <w:rPr>
          <w:b/>
        </w:rPr>
        <w:t>target model measured on it</w:t>
      </w:r>
      <w:r>
        <w:t>, and are the only ones whose subject is not the pack.</w:t>
      </w:r>
    </w:p>
    <w:p>
      <w:r>
        <w:rPr>
          <w:b/>
        </w:rPr>
        <w:t>`ast_match`</w:t>
      </w:r>
      <w:r>
        <w:t xml:space="preserve"> — the model's tool calls equal </w:t>
      </w:r>
      <w:r>
        <w:rPr>
          <w:rFonts w:ascii="Consolas" w:hAnsi="Consolas"/>
          <w:color w:val="24292E"/>
          <w:sz w:val="19"/>
        </w:rPr>
        <w:t>expected_tool_calls</w:t>
      </w:r>
      <w:r>
        <w:t xml:space="preserve">: same function names, same arguments, compared after normalising both sides to sorted-key JSON (the published row encodes arguments as </w:t>
      </w:r>
      <w:r>
        <w:rPr>
          <w:rFonts w:ascii="Consolas" w:hAnsi="Consolas"/>
          <w:color w:val="24292E"/>
          <w:sz w:val="19"/>
        </w:rPr>
        <w:t>[[key, canonical_json]]</w:t>
      </w:r>
      <w:r>
        <w:t xml:space="preserve"> pairs, a model returns a dict). Order is part of the claim </w:t>
      </w:r>
      <w:r>
        <w:rPr>
          <w:b/>
        </w:rPr>
        <w:t>unless</w:t>
      </w:r>
      <w:r>
        <w:t xml:space="preserve"> the template declares </w:t>
      </w:r>
      <w:r>
        <w:rPr>
          <w:rFonts w:ascii="Consolas" w:hAnsi="Consolas"/>
          <w:color w:val="24292E"/>
          <w:sz w:val="19"/>
        </w:rPr>
        <w:t>call_order: any</w:t>
      </w:r>
      <w:r>
        <w:t xml:space="preserve">, in which case the comparison is order-insensitive. A1 proved </w:t>
      </w:r>
      <w:r>
        <w:rPr>
          <w:rFonts w:ascii="Consolas" w:hAnsi="Consolas"/>
          <w:color w:val="24292E"/>
          <w:sz w:val="19"/>
        </w:rPr>
        <w:t>call_order</w:t>
      </w:r>
      <w:r>
        <w:t xml:space="preserve"> is not derivable, so it is read from the template and never inferred.</w:t>
      </w:r>
    </w:p>
    <w:p>
      <w:r>
        <w:rPr>
          <w:b/>
        </w:rPr>
        <w:t>`assertion`</w:t>
      </w:r>
      <w:r>
        <w:t xml:space="preserve"> — the same episode judged by the pack's own </w:t>
      </w:r>
      <w:r>
        <w:rPr>
          <w:rFonts w:ascii="Consolas" w:hAnsi="Consolas"/>
          <w:color w:val="24292E"/>
          <w:sz w:val="19"/>
        </w:rPr>
        <w:t>success_assertions</w:t>
      </w:r>
      <w:r>
        <w:t xml:space="preserve">, run through </w:t>
      </w:r>
      <w:r>
        <w:rPr>
          <w:rFonts w:ascii="Consolas" w:hAnsi="Consolas"/>
          <w:color w:val="24292E"/>
          <w:sz w:val="19"/>
        </w:rPr>
        <w:t>ProcessWorker.run_episode</w:t>
      </w:r>
      <w:r>
        <w:t xml:space="preserve"> exactly as the gold replay is. Reported </w:t>
      </w:r>
      <w:r>
        <w:rPr>
          <w:b/>
        </w:rPr>
        <w:t>beside</w:t>
      </w:r>
      <w:r>
        <w:t xml:space="preserve"> </w:t>
      </w:r>
      <w:r>
        <w:rPr>
          <w:rFonts w:ascii="Consolas" w:hAnsi="Consolas"/>
          <w:color w:val="24292E"/>
          <w:sz w:val="19"/>
        </w:rPr>
        <w:t>ast_match</w:t>
      </w:r>
      <w:r>
        <w:t>, never instead of it: A4 measured this pack's assertions at 0.610 false acceptance on argument-level corruptions, so a model can pass this column while reporting a fabricated value. The gap between the columns is a readout, not noise.</w:t>
      </w:r>
    </w:p>
    <w:p>
      <w:r>
        <w:t xml:space="preserve">A task with no </w:t>
      </w:r>
      <w:r>
        <w:rPr>
          <w:rFonts w:ascii="Consolas" w:hAnsi="Consolas"/>
          <w:color w:val="24292E"/>
          <w:sz w:val="19"/>
        </w:rPr>
        <w:t>success_assertions</w:t>
      </w:r>
      <w:r>
        <w:t xml:space="preserve"> is recorded as </w:t>
      </w:r>
      <w:r>
        <w:rPr>
          <w:rFonts w:ascii="Consolas" w:hAnsi="Consolas"/>
          <w:color w:val="24292E"/>
          <w:sz w:val="19"/>
        </w:rPr>
        <w:t>assertion: false</w:t>
      </w:r>
      <w:r>
        <w:t xml:space="preserve"> rather than silently passing. An episode that fails to execute returns no verdict at all, so a broken harness cannot be read as a wrong model.</w:t>
      </w:r>
    </w:p>
    <w:p>
      <w:r>
        <w:rPr>
          <w:b/>
        </w:rPr>
        <w:t>`paired_agreement`</w:t>
      </w:r>
      <w:r>
        <w:t xml:space="preserve"> — share of tasks on which both wordings produced the same verdict. The pairing is exact: </w:t>
      </w:r>
      <w:r>
        <w:rPr>
          <w:rFonts w:ascii="Consolas" w:hAnsi="Consolas"/>
          <w:color w:val="24292E"/>
          <w:sz w:val="19"/>
        </w:rPr>
        <w:t>task_id</w:t>
      </w:r>
      <w:r>
        <w:t xml:space="preserve"> is hashed over pack, template, fixture refs, slot bindings and variant index, and </w:t>
      </w:r>
      <w:r>
        <w:rPr>
          <w:b/>
        </w:rPr>
        <w:t>not</w:t>
      </w:r>
      <w:r>
        <w:t xml:space="preserve"> over the surface, so the same task carries the same id under both wordings.</w:t>
      </w:r>
    </w:p>
    <w:p>
      <w:r>
        <w:rPr>
          <w:b/>
        </w:rPr>
        <w:t>`mcnemar_p`</w:t>
      </w:r>
      <w:r>
        <w:t xml:space="preserve"> — two-sided </w:t>
      </w:r>
      <w:r>
        <w:rPr>
          <w:b/>
        </w:rPr>
        <w:t>exact</w:t>
      </w:r>
      <w:r>
        <w:t xml:space="preserve"> McNemar on the discordant pairs, H0 = wording has no effect. Exact rather than chi-square because the discordant count here is far below the ~25 the approximation needs. A non-significant p at this n means </w:t>
      </w:r>
      <w:r>
        <w:rPr>
          <w:i/>
        </w:rPr>
        <w:t>not detected</w:t>
      </w:r>
      <w:r>
        <w:t xml:space="preserve">, not </w:t>
      </w:r>
      <w:r>
        <w:rPr>
          <w:i/>
        </w:rPr>
        <w:t>no effect</w:t>
      </w:r>
      <w:r>
        <w:t>.</w:t>
      </w:r>
    </w:p>
    <w:p>
      <w:r>
        <w:rPr>
          <w:b/>
        </w:rPr>
        <w:t>Per-cell reporting is mandatory.</w:t>
      </w:r>
      <w:r>
        <w:t xml:space="preserve"> Accuracy is reported per </w:t>
      </w:r>
      <w:r>
        <w:rPr>
          <w:rFonts w:ascii="Consolas" w:hAnsi="Consolas"/>
          <w:color w:val="24292E"/>
          <w:sz w:val="19"/>
        </w:rPr>
        <w:t>turn_policy</w:t>
      </w:r>
      <w:r>
        <w:t xml:space="preserve"> and per </w:t>
      </w:r>
      <w:r>
        <w:rPr>
          <w:rFonts w:ascii="Consolas" w:hAnsi="Consolas"/>
          <w:color w:val="24292E"/>
          <w:sz w:val="19"/>
        </w:rPr>
        <w:t>category</w:t>
      </w:r>
      <w:r>
        <w:t xml:space="preserve"> with the count printed alongside every rate. Pooled accuracy is dominated by </w:t>
      </w:r>
      <w:r>
        <w:rPr>
          <w:rFonts w:ascii="Consolas" w:hAnsi="Consolas"/>
          <w:color w:val="24292E"/>
          <w:sz w:val="19"/>
        </w:rPr>
        <w:t>single_turn</w:t>
      </w:r>
      <w:r>
        <w:t xml:space="preserve"> (18 of 33 tasks) and hides the policies the ladder exists to compare.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Changelog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Initial contract. Covers A0 baseline; A1–A4 compare against it. A5 solve-accuracy and A6 backend-falsifiability metrics added under the same version: they are new metrics, not changes to existing ones, so no arm's numbers move.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2 — Findings</w:t>
      </w:r>
    </w:p>
    <w:p>
      <w:r>
        <w:rPr>
          <w:b/>
        </w:rPr>
        <w:t>Question:</w:t>
      </w:r>
      <w:r>
        <w:t xml:space="preserve"> how much friction does an Oracle Pack cost today, and what does the benchmark it produces actually look like?</w:t>
      </w:r>
    </w:p>
    <w:p>
      <w:r>
        <w:t xml:space="preserve">Nothing is cut and nothing is derived. A0 generates </w:t>
      </w:r>
      <w:r>
        <w:rPr>
          <w:rFonts w:ascii="Consolas" w:hAnsi="Consolas"/>
          <w:color w:val="24292E"/>
          <w:sz w:val="19"/>
        </w:rPr>
        <w:t>banking_vn</w:t>
      </w:r>
      <w:r>
        <w:t xml:space="preserve"> exactly as authored and is the first thing in the pipeline to report a property of the </w:t>
      </w:r>
      <w:r>
        <w:rPr>
          <w:i/>
        </w:rPr>
        <w:t>benchmark</w:t>
      </w:r>
      <w:r>
        <w:t xml:space="preserve"> rather than of the </w:t>
      </w:r>
      <w:r>
        <w:rPr>
          <w:i/>
        </w:rPr>
        <w:t>run</w:t>
      </w:r>
      <w:r>
        <w:t>.</w:t>
      </w:r>
    </w:p>
    <w:p>
      <w:pPr>
        <w:spacing w:after="200"/>
        <w:ind w:left="360"/>
      </w:pPr>
      <w:r>
        <w:rPr>
          <w:rFonts w:ascii="Consolas" w:hAnsi="Consolas"/>
          <w:color w:val="24292E"/>
          <w:sz w:val="17"/>
        </w:rPr>
        <w:t>PYTHONPATH=src python3 bfcl_ablation/run_a0.py</w:t>
        <w:br/>
        <w:t>PYTHONPATH=src python3 bfcl_ablation/sweep_budget.py 6 12 24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Insights</w:t>
      </w:r>
    </w:p>
    <w:p>
      <w:pPr>
        <w:pStyle w:val="Heading3"/>
      </w:pPr>
      <w:r>
        <w:t>1. The benchmark has 33 tasks and 17 sentences</w:t>
      </w:r>
    </w:p>
    <w:p>
      <w:r>
        <w:t xml:space="preserve">Masking every bound slot value with its slot name collapses 33 published tasks to </w:t>
      </w:r>
      <w:r>
        <w:rPr>
          <w:b/>
        </w:rPr>
        <w:t>17 distinct utterances — exactly one per template</w:t>
      </w:r>
      <w:r>
        <w:t xml:space="preserve">. </w:t>
      </w:r>
      <w:r>
        <w:rPr>
          <w:rFonts w:ascii="Consolas" w:hAnsi="Consolas"/>
          <w:color w:val="24292E"/>
          <w:sz w:val="19"/>
        </w:rPr>
        <w:t>qr_payment</w:t>
      </w:r>
      <w:r>
        <w:t xml:space="preserve"> is six tasks and one sentence.</w:t>
      </w:r>
    </w:p>
    <w:p>
      <w:r>
        <w:rPr>
          <w:rFonts w:ascii="Consolas" w:hAnsi="Consolas"/>
          <w:color w:val="24292E"/>
          <w:sz w:val="19"/>
        </w:rPr>
        <w:t>user_turn_templates.{lang}</w:t>
      </w:r>
      <w:r>
        <w:t xml:space="preserve"> is a single string, so every task a template emits repeats that template's one sentence with different ids substituted in.</w:t>
      </w:r>
    </w:p>
    <w:p>
      <w:r>
        <w:rPr>
          <w:i/>
        </w:rPr>
        <w:t>So what:</w:t>
      </w:r>
      <w:r>
        <w:t xml:space="preserve"> a model could score well by matching surface forms it has effectively seen 6 times. This is the entire motivation for A2.</w:t>
      </w:r>
    </w:p>
    <w:p>
      <w:pPr>
        <w:pStyle w:val="Heading3"/>
      </w:pPr>
      <w:r>
        <w:t>2. No config knob can fix that</w:t>
      </w:r>
    </w:p>
    <w:p>
      <w:r>
        <w:t xml:space="preserve">Raising </w:t>
      </w:r>
      <w:r>
        <w:rPr>
          <w:rFonts w:ascii="Consolas" w:hAnsi="Consolas"/>
          <w:color w:val="24292E"/>
          <w:sz w:val="19"/>
        </w:rPr>
        <w:t>tasks_per_category</w:t>
      </w:r>
      <w:r>
        <w:t xml:space="preserve"> from 6 to 24 nearly triples the tasks and nearly doubles entity coverage, and leaves the sentence count </w:t>
      </w:r>
      <w:r>
        <w:rPr>
          <w:b/>
        </w:rPr>
        <w:t>exactly</w:t>
      </w:r>
      <w:r>
        <w:t xml:space="preserve"> where it started: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color w:val="24292E"/>
                <w:sz w:val="18"/>
              </w:rPr>
              <w:t>tasks_per_category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fixture entities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distinct surfaces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color w:val="24292E"/>
                <w:sz w:val="18"/>
              </w:rPr>
              <w:t>single_turn</w:t>
            </w:r>
            <w:r>
              <w:rPr>
                <w:b/>
                <w:sz w:val="18"/>
              </w:rPr>
              <w:t xml:space="preserve"> share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17/50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54.5%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25/50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49.1%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32/50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50.5%</w:t>
            </w:r>
          </w:p>
        </w:tc>
      </w:tr>
    </w:tbl>
    <w:p/>
    <w:p>
      <w:r>
        <w:t>The benchmark has three axes — entity coverage, policy mix, surface diversity — and one knob, which reaches one of them. At budget 24 each sentence repeats 5.4 times on average.</w:t>
      </w:r>
    </w:p>
    <w:p>
      <w:r>
        <w:rPr>
          <w:i/>
        </w:rPr>
        <w:t>So what:</w:t>
      </w:r>
      <w:r>
        <w:t xml:space="preserve"> surface diversity is structurally unreachable without a new authoring mechanism. A2 is not an optimisation, it is the only route.</w:t>
      </w:r>
    </w:p>
    <w:p>
      <w:pPr>
        <w:pStyle w:val="Heading3"/>
      </w:pPr>
      <w:r>
        <w:t>3. The policy mix is an accident of category composition</w:t>
      </w:r>
    </w:p>
    <w:p>
      <w:r>
        <w:rPr>
          <w:rFonts w:ascii="Consolas" w:hAnsi="Consolas"/>
          <w:color w:val="24292E"/>
          <w:sz w:val="19"/>
        </w:rPr>
        <w:t>single_turn</w:t>
      </w:r>
      <w:r>
        <w:t xml:space="preserve"> takes </w:t>
      </w:r>
      <w:r>
        <w:rPr>
          <w:b/>
        </w:rPr>
        <w:t>54.5%</w:t>
      </w:r>
      <w:r>
        <w:t xml:space="preserve"> of tasks. </w:t>
      </w:r>
      <w:r>
        <w:rPr>
          <w:rFonts w:ascii="Consolas" w:hAnsi="Consolas"/>
          <w:color w:val="24292E"/>
          <w:sz w:val="19"/>
        </w:rPr>
        <w:t>correction</w:t>
      </w:r>
      <w:r>
        <w:t xml:space="preserve">, </w:t>
      </w:r>
      <w:r>
        <w:rPr>
          <w:rFonts w:ascii="Consolas" w:hAnsi="Consolas"/>
          <w:color w:val="24292E"/>
          <w:sz w:val="19"/>
        </w:rPr>
        <w:t>dependent_call</w:t>
      </w:r>
      <w:r>
        <w:t xml:space="preserve">, </w:t>
      </w:r>
      <w:r>
        <w:rPr>
          <w:rFonts w:ascii="Consolas" w:hAnsi="Consolas"/>
          <w:color w:val="24292E"/>
          <w:sz w:val="19"/>
        </w:rPr>
        <w:t>multi_tool</w:t>
      </w:r>
      <w:r>
        <w:t xml:space="preserve">, </w:t>
      </w:r>
      <w:r>
        <w:rPr>
          <w:rFonts w:ascii="Consolas" w:hAnsi="Consolas"/>
          <w:color w:val="24292E"/>
          <w:sz w:val="19"/>
        </w:rPr>
        <w:t>missing_slot</w:t>
      </w:r>
      <w:r>
        <w:t xml:space="preserve"> and </w:t>
      </w:r>
      <w:r>
        <w:rPr>
          <w:rFonts w:ascii="Consolas" w:hAnsi="Consolas"/>
          <w:color w:val="24292E"/>
          <w:sz w:val="19"/>
        </w:rPr>
        <w:t>clarify_only</w:t>
      </w:r>
      <w:r>
        <w:t xml:space="preserve"> get </w:t>
      </w:r>
      <w:r>
        <w:rPr>
          <w:b/>
        </w:rPr>
        <w:t>exactly one task each</w:t>
      </w:r>
      <w:r>
        <w:t>.</w:t>
      </w:r>
    </w:p>
    <w:p>
      <w:r>
        <w:t xml:space="preserve">The budget is spent per </w:t>
      </w:r>
      <w:r>
        <w:rPr>
          <w:i/>
        </w:rPr>
        <w:t>category</w:t>
      </w:r>
      <w:r>
        <w:t xml:space="preserve"> and round-robined across that category's templates, so a policy's share is decided by how many templates happen to share its category — not by any target. Raising the budget does not fix it either (see the table above: 54.5% → 49.1% → 50.5%).</w:t>
      </w:r>
    </w:p>
    <w:p>
      <w:r>
        <w:t xml:space="preserve">Only </w:t>
      </w:r>
      <w:r>
        <w:rPr>
          <w:b/>
        </w:rPr>
        <w:t>15 of 54</w:t>
      </w:r>
      <w:r>
        <w:t xml:space="preserve"> (category × policy) cells hold a task: 35 are feasible but unwritten, 4 are structurally empty.</w:t>
      </w:r>
    </w:p>
    <w:p>
      <w:r>
        <w:rPr>
          <w:i/>
        </w:rPr>
        <w:t>So what:</w:t>
      </w:r>
      <w:r>
        <w:t xml:space="preserve"> this is the measurement behind the plan's §3.2. A coverage target must be joint over (category × policy), and it must be a target rather than an emergent artifact.</w:t>
      </w:r>
    </w:p>
    <w:p>
      <w:pPr>
        <w:pStyle w:val="Heading3"/>
      </w:pPr>
      <w:r>
        <w:t>4. Policy breadth and entity depth trade against each other</w:t>
      </w:r>
    </w:p>
    <w:p>
      <w:r>
        <w:t>At the same budget of 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templates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entity coverage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distinct sentences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qr_payment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6/6 (100%)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balance_inquiry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2/8 accounts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</w:tr>
    </w:tbl>
    <w:p/>
    <w:p>
      <w:r>
        <w:t xml:space="preserve">Round-robin gives each template one instance per pass, so the more policies a category covers, the fewer instances each template gets, and the fewer fixture entities get exercised. A category can buy policy breadth </w:t>
      </w:r>
      <w:r>
        <w:rPr>
          <w:i/>
        </w:rPr>
        <w:t>or</w:t>
      </w:r>
      <w:r>
        <w:t xml:space="preserve"> entity depth, not both.</w:t>
      </w:r>
    </w:p>
    <w:p>
      <w:r>
        <w:rPr>
          <w:i/>
        </w:rPr>
        <w:t>So what:</w:t>
      </w:r>
      <w:r>
        <w:t xml:space="preserve"> the coverage spec needs a third dimension. Budgeting jointly over (category × policy) alone will still starve entity coverage.</w:t>
      </w:r>
    </w:p>
    <w:p>
      <w:pPr>
        <w:pStyle w:val="Heading3"/>
      </w:pPr>
      <w:r>
        <w:t>5. A 100% publish rate means the funnel measures nothing</w:t>
      </w:r>
    </w:p>
    <w:p>
      <w:r>
        <w:rPr>
          <w:b/>
        </w:rPr>
        <w:t>No task is dropped at any stage</w:t>
      </w:r>
      <w:r>
        <w:t>, at any budget: 33/33, 55/55, 91/91. Expand → plan → render → trace → schema → replay → publish loses nothing.</w:t>
      </w:r>
    </w:p>
    <w:p>
      <w:r>
        <w:rPr>
          <w:i/>
        </w:rPr>
        <w:t>So what:</w:t>
      </w:r>
      <w:r>
        <w:t xml:space="preserve"> there is currently no measurement that distinguishes a strict pack from a permissive one. "Publish rate" reads like a quality score and is not one. The A4 concern — that no gate measures assertion strictness — is not a future risk, it is already true at A0, and it is why A4 exists.</w:t>
      </w:r>
    </w:p>
    <w:p>
      <w:pPr>
        <w:pStyle w:val="Heading3"/>
      </w:pPr>
      <w:r>
        <w:t>6. Twelve fixture entities are unreachable by design</w:t>
      </w:r>
    </w:p>
    <w:p>
      <w:r>
        <w:rPr>
          <w:rFonts w:ascii="Consolas" w:hAnsi="Consolas"/>
          <w:color w:val="24292E"/>
          <w:sz w:val="19"/>
        </w:rPr>
        <w:t>transfers</w:t>
      </w:r>
      <w:r>
        <w:t xml:space="preserve"> (4), </w:t>
      </w:r>
      <w:r>
        <w:rPr>
          <w:rFonts w:ascii="Consolas" w:hAnsi="Consolas"/>
          <w:color w:val="24292E"/>
          <w:sz w:val="19"/>
        </w:rPr>
        <w:t>fee_schedule</w:t>
      </w:r>
      <w:r>
        <w:t xml:space="preserve"> (6) and </w:t>
      </w:r>
      <w:r>
        <w:rPr>
          <w:rFonts w:ascii="Consolas" w:hAnsi="Consolas"/>
          <w:color w:val="24292E"/>
          <w:sz w:val="19"/>
        </w:rPr>
        <w:t>transfer_scenarios</w:t>
      </w:r>
      <w:r>
        <w:t xml:space="preserve"> (2) are bound by no slot in any template. They are backend state, not task subjects, so the real ceiling is 38, not 50 — at budget 24 coverage is 32/38 (84%), not 32/50 (64%).</w:t>
      </w:r>
    </w:p>
    <w:p>
      <w:r>
        <w:rPr>
          <w:i/>
        </w:rPr>
        <w:t>So what:</w:t>
      </w:r>
      <w:r>
        <w:t xml:space="preserve"> the coverage metric currently conflates "not covered yet" with "cannot be covered". Worth separating before a coverage target is set against it, or the target will be unreachable by construction.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Full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readout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authoring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1642 lines across 7 pack files + run config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templates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17, in 6 categories, using 9 turn policies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 template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27.8 lines of </w:t>
            </w:r>
            <w:r>
              <w:rPr>
                <w:rFonts w:ascii="Consolas" w:hAnsi="Consolas"/>
                <w:color w:val="24292E"/>
                <w:sz w:val="18"/>
              </w:rPr>
              <w:t>task_templates.yaml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tasks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33 generated, 33 published, tier </w:t>
            </w:r>
            <w:r>
              <w:rPr>
                <w:rFonts w:ascii="Consolas" w:hAnsi="Consolas"/>
                <w:color w:val="24292E"/>
                <w:sz w:val="18"/>
              </w:rPr>
              <w:t>gold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joint coverage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15/54 cells populated, 35 unwritten, 4 structurally empty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fixture coverage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17/50 entities bound (38 reachable)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tool coverage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9/9 tools appear in at least one expected trace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surface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33 raw / </w:t>
            </w:r>
            <w:r>
              <w:rPr>
                <w:b/>
                <w:sz w:val="18"/>
              </w:rPr>
              <w:t>17 slot-masked</w:t>
            </w:r>
            <w:r>
              <w:rPr>
                <w:sz w:val="18"/>
              </w:rPr>
              <w:t xml:space="preserve"> distinct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funnel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 rows lost at any stage</w:t>
            </w:r>
          </w:p>
        </w:tc>
      </w:tr>
    </w:tbl>
    <w:p/>
    <w:p>
      <w:r>
        <w:t>Authoring cost by file: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lines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nature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task_templates.yaml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473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17 templates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backend.py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465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executable simulator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validation_cases.yaml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199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23 probes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assertions.py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182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14 assertions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tools.json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162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 schemas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fixtures.json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68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initial state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manifest.yaml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wiring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run config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mostly defaults</w:t>
            </w:r>
          </w:p>
        </w:tc>
      </w:tr>
    </w:tbl>
    <w:p/>
    <w:p>
      <w:r>
        <w:t xml:space="preserve">The lexical-shortcut probe from the plan's §5 is reported as </w:t>
      </w:r>
      <w:r>
        <w:rPr>
          <w:b/>
        </w:rPr>
        <w:t>not runnable</w:t>
      </w:r>
      <w:r>
        <w:t xml:space="preserve"> at A0 rather than as a number: a generalization gap needs several phrasings per intent, and there is exactly one. It becomes available at A2.</w:t>
      </w:r>
    </w:p>
    <w:p>
      <w:pPr>
        <w:pStyle w:val="Heading2"/>
      </w:pPr>
      <w:r>
        <w:t>Limitations</w:t>
      </w:r>
    </w:p>
    <w:p>
      <w:pPr>
        <w:pStyle w:val="ListBullet"/>
      </w:pPr>
      <w:r>
        <w:rPr>
          <w:b/>
        </w:rPr>
        <w:t>Structural emptiness is a heuristic.</w:t>
      </w:r>
      <w:r>
        <w:t xml:space="preserve"> It is inferred from the union of </w:t>
      </w:r>
      <w:r>
        <w:rPr>
          <w:rFonts w:ascii="Consolas" w:hAnsi="Consolas"/>
          <w:color w:val="24292E"/>
          <w:sz w:val="19"/>
        </w:rPr>
        <w:t>tools_present</w:t>
      </w:r>
    </w:p>
    <w:p>
      <w:r>
        <w:t xml:space="preserve">across a category's </w:t>
      </w:r>
      <w:r>
        <w:rPr>
          <w:i/>
        </w:rPr>
        <w:t>existing</w:t>
      </w:r>
      <w:r>
        <w:t xml:space="preserve"> templates, which is circular for a category nobody has written templates for. The report states this inline.</w:t>
      </w:r>
    </w:p>
    <w:p>
      <w:pPr>
        <w:pStyle w:val="ListBullet"/>
      </w:pPr>
      <w:r>
        <w:rPr>
          <w:b/>
        </w:rPr>
        <w:t>A0 uses `lineage.policy: strict_separation`</w:t>
      </w:r>
      <w:r>
        <w:t>, not the reference config's</w:t>
      </w:r>
    </w:p>
    <w:p>
      <w:r>
        <w:rPr>
          <w:rFonts w:ascii="Consolas" w:hAnsi="Consolas"/>
          <w:color w:val="24292E"/>
          <w:sz w:val="19"/>
        </w:rPr>
        <w:t>smoke_no_publication</w:t>
      </w:r>
      <w:r>
        <w:t xml:space="preserve">, which forces </w:t>
      </w:r>
      <w:r>
        <w:rPr>
          <w:rFonts w:ascii="Consolas" w:hAnsi="Consolas"/>
          <w:color w:val="24292E"/>
          <w:sz w:val="19"/>
        </w:rPr>
        <w:t>gold_eligible: False</w:t>
      </w:r>
      <w:r>
        <w:t xml:space="preserve"> regardless of validation and would have made the publish-rate readout vacuous.</w:t>
      </w:r>
    </w:p>
    <w:p>
      <w:pPr>
        <w:pStyle w:val="ListBullet"/>
      </w:pPr>
      <w:r>
        <w:t>Blank and comment lines count toward LOC. Excluding them would flatter whichever arm is</w:t>
      </w:r>
    </w:p>
    <w:p>
      <w:r>
        <w:t>less commented.</w:t>
      </w:r>
    </w:p>
    <w:p>
      <w:pPr>
        <w:pStyle w:val="Heading2"/>
      </w:pPr>
      <w:r>
        <w:t>Artifacts</w:t>
      </w:r>
    </w:p>
    <w:p>
      <w:r>
        <w:rPr>
          <w:rFonts w:ascii="Consolas" w:hAnsi="Consolas"/>
          <w:color w:val="24292E"/>
          <w:sz w:val="19"/>
        </w:rPr>
        <w:t>results/A0/report.md</w:t>
      </w:r>
      <w:r>
        <w:t xml:space="preserve">, </w:t>
      </w:r>
      <w:r>
        <w:rPr>
          <w:rFonts w:ascii="Consolas" w:hAnsi="Consolas"/>
          <w:color w:val="24292E"/>
          <w:sz w:val="19"/>
        </w:rPr>
        <w:t>results/A0/metrics.json</w:t>
      </w:r>
      <w:r>
        <w:t xml:space="preserve">, </w:t>
      </w:r>
      <w:r>
        <w:rPr>
          <w:rFonts w:ascii="Consolas" w:hAnsi="Consolas"/>
          <w:color w:val="24292E"/>
          <w:sz w:val="19"/>
        </w:rPr>
        <w:t>results/budget_sweep.json</w:t>
      </w:r>
    </w:p>
    <w:p>
      <w:r>
        <w:t xml:space="preserve">Metric definitions are fixed and versioned in </w:t>
      </w:r>
      <w:r>
        <w:rPr>
          <w:rFonts w:ascii="Consolas" w:hAnsi="Consolas"/>
          <w:color w:val="24292E"/>
          <w:sz w:val="19"/>
        </w:rPr>
        <w:t>results/METRICS.md</w:t>
      </w:r>
      <w:r>
        <w:t xml:space="preserve"> (contract </w:t>
      </w:r>
      <w:r>
        <w:rPr>
          <w:rFonts w:ascii="Consolas" w:hAnsi="Consolas"/>
          <w:color w:val="24292E"/>
          <w:sz w:val="19"/>
        </w:rPr>
        <w:t>1.0</w:t>
      </w:r>
      <w:r>
        <w:t xml:space="preserve">);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 carries </w:t>
      </w:r>
      <w:r>
        <w:rPr>
          <w:rFonts w:ascii="Consolas" w:hAnsi="Consolas"/>
          <w:color w:val="24292E"/>
          <w:sz w:val="19"/>
        </w:rPr>
        <w:t>metrics_version</w:t>
      </w:r>
      <w:r>
        <w:t xml:space="preserve"> and an inline copy of the load-bearing definitions.</w:t>
      </w:r>
    </w:p>
    <w:p>
      <w:r>
        <w:br w:type="page"/>
      </w:r>
    </w:p>
    <w:p>
      <w:pPr>
        <w:pStyle w:val="Heading1"/>
      </w:pPr>
      <w:r>
        <w:t>Appendix A — Full result tables</w:t>
      </w:r>
    </w:p>
    <w:p>
      <w:r>
        <w:t>Every figure below is read from the stored result set at render time rather than retyped, so this appendix cannot drift from the data it describes.</w:t>
      </w:r>
    </w:p>
    <w:p>
      <w:pPr>
        <w:pStyle w:val="Heading3"/>
      </w:pPr>
      <w:r>
        <w:t>A.1 Authoring cost by 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lines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TOTAL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1642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assertions.py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182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backend.py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465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fixtures.json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68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manifest.yaml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run_config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task_templates.yaml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473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tools.json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162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validation_cases.yaml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199</w:t>
            </w:r>
          </w:p>
        </w:tc>
      </w:tr>
    </w:tbl>
    <w:p/>
    <w:p>
      <w:pPr>
        <w:pStyle w:val="Heading3"/>
      </w:pPr>
      <w:r>
        <w:t>A.2 Joint (category x policy) matrix</w:t>
      </w:r>
    </w:p>
    <w:p>
      <w:r>
        <w:t>Cell values are task counts. 'unwritten' means feasible but not authored; 'structural' means no tool in the category's universe can satisfy the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clarify_only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confirmation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correction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dependent_call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irrelevant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missing_slot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multi_tool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negative_path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single_turn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balance_inquiry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--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dispute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out_of_scope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--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qr_payment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--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transaction_status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--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transfer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</w:tbl>
    <w:p/>
    <w:p>
      <w:pPr>
        <w:pStyle w:val="Heading3"/>
      </w:pPr>
      <w:r>
        <w:t>A.3 Policy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turn_policy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clarify_only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confirmation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15.2%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correction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dependent_call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irrelevant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9.1%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missing_slot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multi_tool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negative_path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6.1%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single_turn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54.5%</w:t>
            </w:r>
          </w:p>
        </w:tc>
      </w:tr>
    </w:tbl>
    <w:p/>
    <w:p>
      <w:pPr>
        <w:pStyle w:val="Heading3"/>
      </w:pPr>
      <w:r>
        <w:t>A.4 Fixture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primary key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rows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bound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never bound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accounts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account_id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ACC-003, ACC-004, ACC-005, ACC-007, ACC-008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cards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card_id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CARD-002, CARD-003, CARD-004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disputes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dispute_id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DSP-0004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fee_schedule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transactions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transaction_id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TXN-1003, TXN-1004, TXN-1005, TXN-1006, TXN-1007, TXN-1008, TXN-1009, TXN-1010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transfer_scenarios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transfers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transfer_id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TRF-0001, TRF-0002, TRF-0003, TRF-0004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vietqr_payments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payment_ref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</w:tbl>
    <w:p/>
    <w:p>
      <w:r>
        <w:t>Tool call counts: {"create_dispute": 3, "create_transfer": 4, "get_account_balance": 4, "get_card_limit": 2, "get_dispute_status": 3, "get_transaction_status": 4, "get_transfer_fee": 2, "get_vietqr_payment_status": 6, "list_recent_transactions": 3}. Tools never called: none.</w:t>
      </w:r>
    </w:p>
    <w:p>
      <w:pPr>
        <w:pStyle w:val="Heading3"/>
      </w:pPr>
      <w:r>
        <w:t>A.5 Surface diversity 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distinct masked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ratio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balance_inquiry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0.83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dispute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0.33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out_of_scope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0.33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qr_payment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transaction_status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0.67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transfer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0.67</w:t>
            </w:r>
          </w:p>
        </w:tc>
      </w:tr>
    </w:tbl>
    <w:p/>
    <w:p>
      <w:pPr>
        <w:pStyle w:val="Heading3"/>
      </w:pPr>
      <w:r>
        <w:t>A.6 Most repeated masked utterances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utterance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Mã VietQR {payment_ref} đã trừ tiền chưa?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Hồ sơ tra soát {dispute_id} đang ở trạng thái nào?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Mở tra soát cho giao dịch {transaction_id}, lý do {reason}.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Mình muốn đăng ký {service} thì làm thủ tục thế nào?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Cho mình xem số dư tài khoản {account_id}.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Kiểm tra giao dịch {transaction_id} đã thành công chưa.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Liệt kê vài giao dịch gần đây của tài khoản {account_id}.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Phí chuyển {amount_vnd}đ từ {from_account_id} sang {to_account_number} ngân hàng {to_bank_code} qua kênh {rail} là bao nhiêu?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Chuyển ngay {amount_vnd}đ từ {from_account_id} sang {to_account_number} ngân hàng {to_bank_code} qua kênh {rail}.</w:t>
            </w:r>
          </w:p>
        </w:tc>
      </w:tr>
    </w:tbl>
    <w:p/>
    <w:p>
      <w:pPr>
        <w:pStyle w:val="Heading3"/>
      </w:pPr>
      <w:r>
        <w:t>A.7 Publish funnel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stage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rows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survival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lost here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drop reasons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expand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state_machine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render_accepted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expected_trace_derived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schema_valid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replay_valid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benchmark_raw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t>A.8 Budget sweep</w:t>
      </w:r>
    </w:p>
    <w:p>
      <w:r>
        <w:t>The only generation knob available. It moves entity coverage and leaves surface diversity unchanged.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tasks_per_category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published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entities bound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distinct surfaces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single_turn share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17/50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54.5%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25/50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49.1%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32/50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50.5%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 — Reproduction and lineage</w:t>
      </w:r>
    </w:p>
    <w:p>
      <w:pPr>
        <w:pStyle w:val="Heading2"/>
      </w:pPr>
      <w:r>
        <w:t>Reproduction</w:t>
      </w:r>
    </w:p>
    <w:p>
      <w:r>
        <w:t>Run from the repository root:</w:t>
      </w:r>
    </w:p>
    <w:p>
      <w:pPr>
        <w:ind w:left="360"/>
      </w:pPr>
      <w:r>
        <w:rPr>
          <w:rFonts w:ascii="Consolas" w:hAnsi="Consolas"/>
          <w:sz w:val="18"/>
        </w:rPr>
        <w:t>PYTHONPATH=src python3 bfcl_ablation/run_a0.py</w:t>
        <w:br/>
        <w:t>PYTHONPATH=src python3 bfcl_ablation/sweep_budget.py 6 12 24</w:t>
      </w:r>
    </w:p>
    <w:p>
      <w:r>
        <w:t>No installation is required: the BFCL family imports with pyarrow, pydantic, pyyaml and rich alone. run_a1.py exits non-zero when equivalence fails, so it doubles as a regression test on auto-derivation.</w:t>
      </w:r>
    </w:p>
    <w:p>
      <w:pPr>
        <w:pStyle w:val="Heading3"/>
      </w:pPr>
      <w:r>
        <w:t>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digest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bfcl_ablation/results/A0/metrics.json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19,892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sha256:e03997e5c50f5989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bfcl_ablation/results/A0/report.md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4,158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sha256:8c860dd7fa0e37d2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bfcl_ablation/results/METRICS.md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12,158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sha256:5e9ae9b70bdd3c08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