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A5</w:t>
      </w:r>
    </w:p>
    <w:p>
      <w:r>
        <w:rPr>
          <w:b/>
          <w:sz w:val="28"/>
        </w:rPr>
        <w:t>Target-model evaluation across wordings</w:t>
      </w:r>
    </w:p>
    <w:p>
      <w:r>
        <w:rPr>
          <w:i/>
          <w:color w:val="606A76"/>
        </w:rPr>
        <w:t>Does a benchmark conclusion survive a paraphrase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Target 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openai/gpt-oss-120b, local vLLM, temperature 0, /v1/responses, all calls disk-cached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rPr>
          <w:b/>
        </w:rPr>
        <w:t>This is recorded, not enforced.</w:t>
      </w:r>
      <w:r>
        <w:t xml:space="preserve"> Every arm now stamps the field — A0, A1 and A3 through the shared measurement schema, and A2, A4, A5 and A6 explicitly, since those emit bespoke schemas. No code reads the stamps back or compares them, so a comparison across two different contracts would still run and still look fine. Closing that is a next step, not a solved problem.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pStyle w:val="Heading2"/>
      </w:pPr>
      <w:r>
        <w:t>Backend falsifiability (A6)</w:t>
      </w:r>
    </w:p>
    <w:p>
      <w:r>
        <w:rPr>
          <w:b/>
        </w:rPr>
        <w:t>`blind_rate`</w:t>
      </w:r>
      <w:r>
        <w:t xml:space="preserve"> — of the mutants of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 whose effect is </w:t>
      </w:r>
      <w:r>
        <w:rPr>
          <w:i/>
        </w:rPr>
        <w:t>observable</w:t>
      </w:r>
      <w:r>
        <w:t xml:space="preserve"> on an input the pack supplies, the share that every check the pack ships accepted. This is the arm's headline.</w:t>
      </w:r>
    </w:p>
    <w:p>
      <w:r>
        <w:rPr>
          <w:b/>
        </w:rPr>
        <w:t>Observable</w:t>
      </w:r>
      <w:r>
        <w:t xml:space="preserve"> is decided by a differential replay against the unmutated backend: if a mutant changes any per-call result or the final state on A0's replayed traces, it is observable. That comparison is a </w:t>
      </w:r>
      <w:r>
        <w:rPr>
          <w:b/>
        </w:rPr>
        <w:t>reference this arm adds, not a check the pack ships</w:t>
      </w:r>
      <w:r>
        <w:t xml:space="preserve"> — nothing in the pack states what a tool should return — so a mutant caught only by it counts toward </w:t>
      </w:r>
      <w:r>
        <w:rPr>
          <w:rFonts w:ascii="Consolas" w:hAnsi="Consolas"/>
          <w:color w:val="24292E"/>
          <w:sz w:val="19"/>
        </w:rPr>
        <w:t>blind_rate</w:t>
      </w:r>
      <w:r>
        <w:t>.</w:t>
      </w:r>
    </w:p>
    <w:p>
      <w:r>
        <w:rPr>
          <w:b/>
        </w:rPr>
        <w:t>Do not report the raw survival count as the headline.</w:t>
      </w:r>
      <w:r>
        <w:t xml:space="preserve"> A mutant that survives every layer is usually one no task and no validation case executes, which measures </w:t>
      </w:r>
      <w:r>
        <w:rPr>
          <w:i/>
        </w:rPr>
        <w:t>coverage</w:t>
      </w:r>
      <w:r>
        <w:t xml:space="preserve">, not </w:t>
      </w:r>
      <w:r>
        <w:rPr>
          <w:i/>
        </w:rPr>
        <w:t>checking</w:t>
      </w:r>
      <w:r>
        <w:t xml:space="preserve">. Survivors must be triaged into </w:t>
      </w:r>
      <w:r>
        <w:rPr>
          <w:rFonts w:ascii="Consolas" w:hAnsi="Consolas"/>
          <w:color w:val="24292E"/>
          <w:sz w:val="19"/>
        </w:rPr>
        <w:t>equivalent</w:t>
      </w:r>
      <w:r>
        <w:t xml:space="preserve"> (no input could observe the edit), </w:t>
      </w:r>
      <w:r>
        <w:rPr>
          <w:rFonts w:ascii="Consolas" w:hAnsi="Consolas"/>
          <w:color w:val="24292E"/>
          <w:sz w:val="19"/>
        </w:rPr>
        <w:t>unreachable</w:t>
      </w:r>
      <w:r>
        <w:t xml:space="preserve"> (observable in principle, but not on any input the pack supplies) and </w:t>
      </w:r>
      <w:r>
        <w:rPr>
          <w:rFonts w:ascii="Consolas" w:hAnsi="Consolas"/>
          <w:color w:val="24292E"/>
          <w:sz w:val="19"/>
        </w:rPr>
        <w:t>real_gap</w:t>
      </w:r>
      <w:r>
        <w:t xml:space="preserve"> (observable on a supplied input, and every shipped check passed) before any rate is quoted. The triage is recorded in </w:t>
      </w:r>
      <w:r>
        <w:rPr>
          <w:rFonts w:ascii="Consolas" w:hAnsi="Consolas"/>
          <w:color w:val="24292E"/>
          <w:sz w:val="19"/>
        </w:rPr>
        <w:t>results/A6/triage.json</w:t>
      </w:r>
      <w:r>
        <w:t>.</w:t>
      </w:r>
    </w:p>
    <w:p>
      <w:r>
        <w:rPr>
          <w:b/>
        </w:rPr>
        <w:t>`first_killing_layer`</w:t>
      </w:r>
      <w:r>
        <w:t xml:space="preserve"> — the cheapest layer that rejected the mutant, over the fixed ladder import → validation cases → traces → assertions → oracle validation → full pipeline. Reported as a histogram, and always alongside which layers ship with the pack and which do not.</w:t>
      </w:r>
    </w:p>
    <w:p>
      <w:pPr>
        <w:pStyle w:val="Heading2"/>
      </w:pPr>
      <w:r>
        <w:t>Solve accuracy across wordings (A5)</w:t>
      </w:r>
    </w:p>
    <w:p>
      <w:r>
        <w:t xml:space="preserve">Every metric above describes the benchmark. These describe a </w:t>
      </w:r>
      <w:r>
        <w:rPr>
          <w:b/>
        </w:rPr>
        <w:t>target model measured on it</w:t>
      </w:r>
      <w:r>
        <w:t>, and are the only ones whose subject is not the pack.</w:t>
      </w:r>
    </w:p>
    <w:p>
      <w:r>
        <w:rPr>
          <w:b/>
        </w:rPr>
        <w:t>`ast_match`</w:t>
      </w:r>
      <w:r>
        <w:t xml:space="preserve"> — the model's tool calls equal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: same function names, same arguments, compared after normalising both sides to sorted-key JSON (the published row encodes arguments as </w:t>
      </w:r>
      <w:r>
        <w:rPr>
          <w:rFonts w:ascii="Consolas" w:hAnsi="Consolas"/>
          <w:color w:val="24292E"/>
          <w:sz w:val="19"/>
        </w:rPr>
        <w:t>[[key, canonical_json]]</w:t>
      </w:r>
      <w:r>
        <w:t xml:space="preserve"> pairs, a model returns a dict). Order is part of the claim </w:t>
      </w:r>
      <w:r>
        <w:rPr>
          <w:b/>
        </w:rPr>
        <w:t>unless</w:t>
      </w:r>
      <w:r>
        <w:t xml:space="preserve"> the template declares </w:t>
      </w:r>
      <w:r>
        <w:rPr>
          <w:rFonts w:ascii="Consolas" w:hAnsi="Consolas"/>
          <w:color w:val="24292E"/>
          <w:sz w:val="19"/>
        </w:rPr>
        <w:t>call_order: any</w:t>
      </w:r>
      <w:r>
        <w:t xml:space="preserve">, in which case the comparison is order-insensitive. A1 proved </w:t>
      </w:r>
      <w:r>
        <w:rPr>
          <w:rFonts w:ascii="Consolas" w:hAnsi="Consolas"/>
          <w:color w:val="24292E"/>
          <w:sz w:val="19"/>
        </w:rPr>
        <w:t>call_order</w:t>
      </w:r>
      <w:r>
        <w:t xml:space="preserve"> is not derivable, so it is read from the template and never inferred.</w:t>
      </w:r>
    </w:p>
    <w:p>
      <w:r>
        <w:rPr>
          <w:b/>
        </w:rPr>
        <w:t>`assertion`</w:t>
      </w:r>
      <w:r>
        <w:t xml:space="preserve"> — the same episode judged by the pack's own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, run through </w:t>
      </w:r>
      <w:r>
        <w:rPr>
          <w:rFonts w:ascii="Consolas" w:hAnsi="Consolas"/>
          <w:color w:val="24292E"/>
          <w:sz w:val="19"/>
        </w:rPr>
        <w:t>ProcessWorker.run_episode</w:t>
      </w:r>
      <w:r>
        <w:t xml:space="preserve"> exactly as the gold replay is. Reported </w:t>
      </w:r>
      <w:r>
        <w:rPr>
          <w:b/>
        </w:rPr>
        <w:t>beside</w:t>
      </w:r>
      <w:r>
        <w:t xml:space="preserve"> </w:t>
      </w:r>
      <w:r>
        <w:rPr>
          <w:rFonts w:ascii="Consolas" w:hAnsi="Consolas"/>
          <w:color w:val="24292E"/>
          <w:sz w:val="19"/>
        </w:rPr>
        <w:t>ast_match</w:t>
      </w:r>
      <w:r>
        <w:t>, never instead of it: A4 measured this pack's assertions at 0.610 false acceptance on argument-level corruptions, so a model can pass this column while reporting a fabricated value. The gap between the columns is a readout, not noise.</w:t>
      </w:r>
    </w:p>
    <w:p>
      <w:r>
        <w:t xml:space="preserve">A task with no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 is recorded as </w:t>
      </w:r>
      <w:r>
        <w:rPr>
          <w:rFonts w:ascii="Consolas" w:hAnsi="Consolas"/>
          <w:color w:val="24292E"/>
          <w:sz w:val="19"/>
        </w:rPr>
        <w:t>assertion: false</w:t>
      </w:r>
      <w:r>
        <w:t xml:space="preserve"> rather than silently passing. An episode that fails to execute returns no verdict at all, so a broken harness cannot be read as a wrong model.</w:t>
      </w:r>
    </w:p>
    <w:p>
      <w:r>
        <w:rPr>
          <w:b/>
        </w:rPr>
        <w:t>`paired_agreement`</w:t>
      </w:r>
      <w:r>
        <w:t xml:space="preserve"> — share of tasks on which both wordings produced the same verdict. The pairing is exact: </w:t>
      </w:r>
      <w:r>
        <w:rPr>
          <w:rFonts w:ascii="Consolas" w:hAnsi="Consolas"/>
          <w:color w:val="24292E"/>
          <w:sz w:val="19"/>
        </w:rPr>
        <w:t>task_id</w:t>
      </w:r>
      <w:r>
        <w:t xml:space="preserve"> is hashed over pack, template, fixture refs, slot bindings and variant index, and </w:t>
      </w:r>
      <w:r>
        <w:rPr>
          <w:b/>
        </w:rPr>
        <w:t>not</w:t>
      </w:r>
      <w:r>
        <w:t xml:space="preserve"> over the surface, so the same task carries the same id under both wordings.</w:t>
      </w:r>
    </w:p>
    <w:p>
      <w:r>
        <w:rPr>
          <w:b/>
        </w:rPr>
        <w:t>`mcnemar_p`</w:t>
      </w:r>
      <w:r>
        <w:t xml:space="preserve"> — two-sided </w:t>
      </w:r>
      <w:r>
        <w:rPr>
          <w:b/>
        </w:rPr>
        <w:t>exact</w:t>
      </w:r>
      <w:r>
        <w:t xml:space="preserve"> McNemar on the discordant pairs, H0 = wording has no effect. Exact rather than chi-square because the discordant count here is far below the ~25 the approximation needs. A non-significant p at this n means </w:t>
      </w:r>
      <w:r>
        <w:rPr>
          <w:i/>
        </w:rPr>
        <w:t>not detected</w:t>
      </w:r>
      <w:r>
        <w:t xml:space="preserve">, not </w:t>
      </w:r>
      <w:r>
        <w:rPr>
          <w:i/>
        </w:rPr>
        <w:t>no effect</w:t>
      </w:r>
      <w:r>
        <w:t>.</w:t>
      </w:r>
    </w:p>
    <w:p>
      <w:r>
        <w:rPr>
          <w:b/>
        </w:rPr>
        <w:t>Per-cell reporting is mandatory.</w:t>
      </w:r>
      <w:r>
        <w:t xml:space="preserve"> Accuracy is reported per </w:t>
      </w:r>
      <w:r>
        <w:rPr>
          <w:rFonts w:ascii="Consolas" w:hAnsi="Consolas"/>
          <w:color w:val="24292E"/>
          <w:sz w:val="19"/>
        </w:rPr>
        <w:t>turn_policy</w:t>
      </w:r>
      <w:r>
        <w:t xml:space="preserve"> and per </w:t>
      </w:r>
      <w:r>
        <w:rPr>
          <w:rFonts w:ascii="Consolas" w:hAnsi="Consolas"/>
          <w:color w:val="24292E"/>
          <w:sz w:val="19"/>
        </w:rPr>
        <w:t>category</w:t>
      </w:r>
      <w:r>
        <w:t xml:space="preserve"> with the count printed alongside every rate. Pooled accuracy is dominated by </w:t>
      </w:r>
      <w:r>
        <w:rPr>
          <w:rFonts w:ascii="Consolas" w:hAnsi="Consolas"/>
          <w:color w:val="24292E"/>
          <w:sz w:val="19"/>
        </w:rPr>
        <w:t>single_turn</w:t>
      </w:r>
      <w:r>
        <w:t xml:space="preserve"> (18 of 33 tasks) and hides the policies the ladder exists to compare.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 A5 solve-accuracy and A6 backend-falsifiability metrics added under the same version: they are new metrics, not changes to existing ones, so no arm's numbers move.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rPr>
          <w:b/>
        </w:rPr>
        <w:t>Question:</w:t>
      </w:r>
      <w:r>
        <w:t xml:space="preserve"> A2 changed the wording without moving ground truth. Does the </w:t>
      </w:r>
      <w:r>
        <w:rPr>
          <w:i/>
        </w:rPr>
        <w:t>score</w:t>
      </w:r>
      <w:r>
        <w:t xml:space="preserve"> move anyway?</w:t>
      </w:r>
    </w:p>
    <w:p>
      <w:r>
        <w:t xml:space="preserve">Every arm before this one measures the benchmark. This one measures a </w:t>
      </w:r>
      <w:r>
        <w:rPr>
          <w:b/>
        </w:rPr>
        <w:t>model on</w:t>
      </w:r>
      <w:r>
        <w:t xml:space="preserve"> the benchmark, which is the only way to ask whether a benchmark </w:t>
      </w:r>
      <w:r>
        <w:rPr>
          <w:i/>
        </w:rPr>
        <w:t>conclusion</w:t>
      </w:r>
      <w:r>
        <w:t xml:space="preserve"> is stable rather than whether its </w:t>
      </w:r>
      <w:r>
        <w:rPr>
          <w:i/>
        </w:rPr>
        <w:t>content</w:t>
      </w:r>
      <w:r>
        <w:t xml:space="preserve"> is. It is the plan's STEP 4, and it was the last unimplemented item on the list.</w:t>
      </w:r>
    </w:p>
    <w:p>
      <w:pPr>
        <w:spacing w:after="200"/>
        <w:ind w:left="360"/>
      </w:pPr>
      <w:r>
        <w:rPr>
          <w:rFonts w:ascii="Consolas" w:hAnsi="Consolas"/>
          <w:color w:val="24292E"/>
          <w:sz w:val="17"/>
        </w:rPr>
        <w:t>PYTHONPATH=src python3 bfcl_ablation/run_a5.py</w:t>
        <w:br/>
        <w:t>PYTHONPATH=src python3 bfcl_ablation/run_a5.py --a2-run a2_b6_v1   # a second wording</w:t>
      </w:r>
    </w:p>
    <w:p>
      <w:r>
        <w:rPr>
          <w:b/>
        </w:rPr>
        <w:t>Method.</w:t>
      </w:r>
      <w:r>
        <w:t xml:space="preserve"> The same 33 tasks in two wordings — A0's authored sentence and A2's paraphrase — scored on one target model. </w:t>
      </w:r>
      <w:r>
        <w:rPr>
          <w:rFonts w:ascii="Consolas" w:hAnsi="Consolas"/>
          <w:color w:val="24292E"/>
          <w:sz w:val="19"/>
        </w:rPr>
        <w:t>task_id</w:t>
      </w:r>
      <w:r>
        <w:t xml:space="preserve"> is hashed over pack, template, fixture refs, slot bindings and variant index and </w:t>
      </w:r>
      <w:r>
        <w:rPr>
          <w:b/>
        </w:rPr>
        <w:t>not</w:t>
      </w:r>
      <w:r>
        <w:t xml:space="preserve"> over the surface, so the two arms carry identical ids: every task is its own control. The statistic is McNemar's exact test on the discordant pairs.</w:t>
      </w:r>
    </w:p>
    <w:p>
      <w:r>
        <w:t xml:space="preserve">The model is driven in a real loop: every call it emits is executed against the live backend through </w:t>
      </w:r>
      <w:r>
        <w:rPr>
          <w:rFonts w:ascii="Consolas" w:hAnsi="Consolas"/>
          <w:color w:val="24292E"/>
          <w:sz w:val="19"/>
        </w:rPr>
        <w:t>ProcessWorker.run_episode</w:t>
      </w:r>
      <w:r>
        <w:t xml:space="preserve"> and the result handed back, so a </w:t>
      </w:r>
      <w:r>
        <w:rPr>
          <w:rFonts w:ascii="Consolas" w:hAnsi="Consolas"/>
          <w:color w:val="24292E"/>
          <w:sz w:val="19"/>
        </w:rPr>
        <w:t>dependent_call</w:t>
      </w:r>
      <w:r>
        <w:t xml:space="preserve"> task can actually read the id it needs. Later user turns are </w:t>
      </w:r>
      <w:r>
        <w:rPr>
          <w:b/>
        </w:rPr>
        <w:t>replayed from the gold conversation</w:t>
      </w:r>
      <w:r>
        <w:t>, not simulated — a simulator would put a second model inside the measurement.</w:t>
      </w:r>
    </w:p>
    <w:p>
      <w:r>
        <w:t xml:space="preserve">The A2 side is </w:t>
      </w:r>
      <w:r>
        <w:rPr>
          <w:rFonts w:ascii="Consolas" w:hAnsi="Consolas"/>
          <w:color w:val="24292E"/>
          <w:sz w:val="19"/>
        </w:rPr>
        <w:t>a2_b6_v6</w:t>
      </w:r>
      <w:r>
        <w:t xml:space="preserve">, the one variant index whose 33 paraphrases A2's intent checker left entirely unflagged. A2's own insight 7 says any model comparison it feeds must gate on </w:t>
      </w:r>
      <w:r>
        <w:rPr>
          <w:rFonts w:ascii="Consolas" w:hAnsi="Consolas"/>
          <w:color w:val="24292E"/>
          <w:sz w:val="19"/>
        </w:rPr>
        <w:t>substituted</w:t>
      </w:r>
      <w:r>
        <w:t xml:space="preserve"> first; this honours that.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Insights</w:t>
      </w:r>
    </w:p>
    <w:p>
      <w:pPr>
        <w:pStyle w:val="Heading3"/>
      </w:pPr>
      <w:r>
        <w:t>1. The wording moved the score, and the pack's assertions could not see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delta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paired agreement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discordant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McNemar p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ast_match</w:t>
            </w:r>
            <w:r>
              <w:rPr>
                <w:sz w:val="18"/>
              </w:rPr>
              <w:t xml:space="preserve"> — calls equal </w:t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0.909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−0.061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0.939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assertion</w:t>
            </w:r>
            <w:r>
              <w:rPr>
                <w:sz w:val="18"/>
              </w:rPr>
              <w:t xml:space="preserve"> — the pack's own </w:t>
            </w:r>
            <w:r>
              <w:rPr>
                <w:rFonts w:ascii="Consolas" w:hAnsi="Consolas"/>
                <w:color w:val="24292E"/>
                <w:sz w:val="18"/>
              </w:rPr>
              <w:t>success_assertions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+0.000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1.000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</w:tr>
    </w:tbl>
    <w:p/>
    <w:p>
      <w:r>
        <w:t xml:space="preserve">Two tasks changed answer when the sentence changed. The declared ground truth caught both. </w:t>
      </w:r>
      <w:r>
        <w:rPr>
          <w:b/>
        </w:rPr>
        <w:t>The pack's assertions caught neither</w:t>
      </w:r>
      <w:r>
        <w:t xml:space="preserve"> — they passed all 33 tasks in both wordings, so by the only gate the pipeline actually runs, nothing happened.</w:t>
      </w:r>
    </w:p>
    <w:p>
      <w:r>
        <w:rPr>
          <w:i/>
        </w:rPr>
        <w:t>So what:</w:t>
      </w:r>
      <w:r>
        <w:t xml:space="preserve"> an arm that validated A2 by running the benchmark and reading the pass rate would have concluded the paraphrases were free. They were not.</w:t>
      </w:r>
    </w:p>
    <w:p>
      <w:pPr>
        <w:pStyle w:val="Heading3"/>
      </w:pPr>
      <w:r>
        <w:t>2. This closes the A0 ↔ A4 causal gap, which was explicitly open</w:t>
      </w:r>
    </w:p>
    <w:p>
      <w:r>
        <w:rPr>
          <w:rFonts w:ascii="Consolas" w:hAnsi="Consolas"/>
          <w:color w:val="24292E"/>
          <w:sz w:val="19"/>
        </w:rPr>
        <w:t>SUMMARY.md</w:t>
      </w:r>
      <w:r>
        <w:t xml:space="preserve"> was careful that A4 did not explain A0:</w:t>
      </w:r>
    </w:p>
    <w:p>
      <w:pPr>
        <w:ind w:left="480"/>
      </w:pPr>
      <w:r>
        <w:rPr>
          <w:i/>
        </w:rPr>
        <w:t xml:space="preserve">A0's replay stage passed 33/33 on </w:t>
      </w:r>
      <w:r>
        <w:rPr>
          <w:i/>
        </w:rPr>
        <w:t>uncorrupted</w:t>
      </w:r>
      <w:r>
        <w:rPr>
          <w:i/>
        </w:rPr>
        <w:t xml:space="preserve"> traces; nothing ever reached the assertions in a failing condition, so A0's 100% is consistent with assertion blindness but not evidence of it. Establishing the causal link would require running A0's published benchmark against a model that produces wrong values and showing they publish clean.</w:t>
      </w:r>
    </w:p>
    <w:p>
      <w:r>
        <w:t>That is exactly this run, and the answer is yes. A model produced a wrong call set, and the assertions published it clean. The link is no longer inferred.</w:t>
      </w:r>
    </w:p>
    <w:p>
      <w:pPr>
        <w:pStyle w:val="Heading3"/>
      </w:pPr>
      <w:r>
        <w:t>3. The blind spot that fired is the one A4 predicted, at the rate A4 predicted</w:t>
      </w:r>
    </w:p>
    <w:p>
      <w:r>
        <w:t xml:space="preserve">Both flips are the same failure, and it is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the operator A4 scored at </w:t>
      </w:r>
      <w:r>
        <w:rPr>
          <w:b/>
        </w:rPr>
        <w:t>0.882</w:t>
      </w:r>
      <w:r>
        <w:t xml:space="preserve"> false acceptance on synthetic corruptions: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opening turn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model's calls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 xml:space="preserve">Chuyển </w:t>
            </w:r>
            <w:r>
              <w:rPr>
                <w:i/>
                <w:sz w:val="18"/>
              </w:rPr>
              <w:t>ngay</w:t>
            </w:r>
            <w:r>
              <w:rPr>
                <w:i/>
                <w:sz w:val="18"/>
              </w:rPr>
              <w:t xml:space="preserve"> 200000đ từ ACC-001…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create_transfer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*Mong</w:t>
            </w:r>
            <w:r>
              <w:rPr>
                <w:sz w:val="18"/>
              </w:rPr>
              <w:t xml:space="preserve"> chuyển 200000đ từ ACC-001…*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get_transfer_fee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create_transfer</w:t>
            </w:r>
          </w:p>
        </w:tc>
      </w:tr>
    </w:tbl>
    <w:p/>
    <w:p>
      <w:r>
        <w:t xml:space="preserve">The transfer itself is identical and correct. The model simply checked the fee first. A4 established that this pack's assertions verify </w:t>
      </w:r>
      <w:r>
        <w:rPr>
          <w:i/>
        </w:rPr>
        <w:t>that the required tools appear</w:t>
      </w:r>
      <w:r>
        <w:t xml:space="preserve"> and never that </w:t>
      </w:r>
      <w:r>
        <w:rPr>
          <w:i/>
        </w:rPr>
        <w:t>no extra tool appeared</w:t>
      </w:r>
      <w:r>
        <w:t>; here that gap is not a synthetic mutation but something a model did on its own, unprompted.</w:t>
      </w:r>
    </w:p>
    <w:p>
      <w:r>
        <w:rPr>
          <w:i/>
        </w:rPr>
        <w:t>So what:</w:t>
      </w:r>
      <w:r>
        <w:t xml:space="preserve"> A4's operator set was not a list of hypotheticals. The one it rated most dangerous is the one that occurred first in the wild, on the first model ever run against this pack.</w:t>
      </w:r>
    </w:p>
    <w:p>
      <w:pPr>
        <w:pStyle w:val="Heading3"/>
      </w:pPr>
      <w:r>
        <w:t>4. The mechanism is a pragmatic cue, not a tool-level intent shift — and that distinction matters</w:t>
      </w:r>
    </w:p>
    <w:p>
      <w:r>
        <w:t xml:space="preserve">A0 says </w:t>
      </w:r>
      <w:r>
        <w:rPr>
          <w:b/>
        </w:rPr>
        <w:t>"chuyển *ngay*"</w:t>
      </w:r>
      <w:r>
        <w:t xml:space="preserve"> (transfer </w:t>
      </w:r>
      <w:r>
        <w:rPr>
          <w:i/>
        </w:rPr>
        <w:t>immediately</w:t>
      </w:r>
      <w:r>
        <w:t xml:space="preserve">). A2 says </w:t>
      </w:r>
      <w:r>
        <w:rPr>
          <w:b/>
        </w:rPr>
        <w:t>"*mong* chuyển"</w:t>
      </w:r>
      <w:r>
        <w:t xml:space="preserve"> (</w:t>
      </w:r>
      <w:r>
        <w:rPr>
          <w:i/>
        </w:rPr>
        <w:t>would like to</w:t>
      </w:r>
      <w:r>
        <w:t xml:space="preserve"> transfer). Both name the same tool with the same arguments, so A2's intent checker passed the paraphrase, and it was right to: at the tool level the intent is identical.</w:t>
      </w:r>
    </w:p>
    <w:p>
      <w:r>
        <w:t>What changed is register. The urgency marker suppressed the fee check; without it the model inserted a reasonable extra step.</w:t>
      </w:r>
    </w:p>
    <w:p>
      <w:r>
        <w:rPr>
          <w:i/>
        </w:rPr>
        <w:t>So what:</w:t>
      </w:r>
      <w:r>
        <w:t xml:space="preserve"> </w:t>
      </w:r>
      <w:r>
        <w:rPr>
          <w:b/>
        </w:rPr>
        <w:t>intent preservation is not behavioural equivalence.</w:t>
      </w:r>
      <w:r>
        <w:t xml:space="preserve"> A2's checker verifies the first and was measured at 94.1% recall on the second-order question it was actually asked. It does not, and cannot, verify the second. A paraphrase can be perfectly intent-preserving and still change what a model does — which is precisely the confound a cross-wording run exists to find, and precisely what no arm before this one could detect.</w:t>
      </w:r>
    </w:p>
    <w:p>
      <w:r>
        <w:t xml:space="preserve">Read honestly, n=2 cannot separate two readings: either the model is brittle to register, or the paraphrase dropped a cue that mattered and the checker had no way to see it. </w:t>
      </w:r>
      <w:r>
        <w:rPr>
          <w:b/>
        </w:rPr>
        <w:t>Both are findings about the same gap</w:t>
      </w:r>
      <w:r>
        <w:t>, and neither is visible from inside A2.</w:t>
      </w:r>
    </w:p>
    <w:p>
      <w:pPr>
        <w:pStyle w:val="Heading3"/>
      </w:pPr>
      <w:r>
        <w:t xml:space="preserve">5.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carries the entire effect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delta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flipped down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−0.40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single_turn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every other policy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</w:tbl>
    <w:p/>
    <w:p>
      <w:r>
        <w:t xml:space="preserve">The pooled −0.061 is an average over 18 </w:t>
      </w:r>
      <w:r>
        <w:rPr>
          <w:rFonts w:ascii="Consolas" w:hAnsi="Consolas"/>
          <w:color w:val="24292E"/>
          <w:sz w:val="19"/>
        </w:rPr>
        <w:t>single_turn</w:t>
      </w:r>
      <w:r>
        <w:t xml:space="preserve"> tasks that did not move at all and 5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tasks that dropped 40%. Reporting only the pooled figure would have hidden the entire result — which is why </w:t>
      </w:r>
      <w:r>
        <w:rPr>
          <w:rFonts w:ascii="Consolas" w:hAnsi="Consolas"/>
          <w:color w:val="24292E"/>
          <w:sz w:val="19"/>
        </w:rPr>
        <w:t>METRICS.md</w:t>
      </w:r>
      <w:r>
        <w:t xml:space="preserve"> makes per-cell reporting mandatory for this arm.</w:t>
      </w:r>
    </w:p>
    <w:p>
      <w:pPr>
        <w:pStyle w:val="Heading3"/>
      </w:pPr>
      <w:r>
        <w:t>6. One task fails on both wordings, and that is a model limit, not a wording effect</w:t>
      </w:r>
    </w:p>
    <w:p>
      <w:r>
        <w:t xml:space="preserve">The lone </w:t>
      </w:r>
      <w:r>
        <w:rPr>
          <w:rFonts w:ascii="Consolas" w:hAnsi="Consolas"/>
          <w:color w:val="24292E"/>
          <w:sz w:val="19"/>
        </w:rPr>
        <w:t>dependent_call</w:t>
      </w:r>
      <w:r>
        <w:t xml:space="preserve"> task scores 0.00 under both wordings. The model calls </w:t>
      </w:r>
      <w:r>
        <w:rPr>
          <w:rFonts w:ascii="Consolas" w:hAnsi="Consolas"/>
          <w:color w:val="24292E"/>
          <w:sz w:val="19"/>
        </w:rPr>
        <w:t>list_recent_transactions(account_id, limit=1)</w:t>
      </w:r>
      <w:r>
        <w:t xml:space="preserve"> and stops, never chaining to </w:t>
      </w:r>
      <w:r>
        <w:rPr>
          <w:rFonts w:ascii="Consolas" w:hAnsi="Consolas"/>
          <w:color w:val="24292E"/>
          <w:sz w:val="19"/>
        </w:rPr>
        <w:t>get_transaction_status</w:t>
      </w:r>
      <w:r>
        <w:t xml:space="preserve">. The assertions </w:t>
      </w:r>
      <w:r>
        <w:rPr>
          <w:b/>
        </w:rPr>
        <w:t>correctly failed it</w:t>
      </w:r>
      <w:r>
        <w:t xml:space="preserve"> in both arms.</w:t>
      </w:r>
    </w:p>
    <w:p>
      <w:r>
        <w:rPr>
          <w:i/>
        </w:rPr>
        <w:t>So what:</w:t>
      </w:r>
      <w:r>
        <w:t xml:space="preserve"> worth stating plainly because it is the control. The assertions are not uniformly blind — they caught the task that was genuinely wrong and missed the task that had an extra call. That is the specific shape A4 measured, reproduced here on real output.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Full numbers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paired tasks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33, all 33 with a different opening turn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target 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openai/gpt-oss-120b</w:t>
            </w:r>
            <w:r>
              <w:rPr>
                <w:sz w:val="18"/>
              </w:rPr>
              <w:t xml:space="preserve">, temperature 0, via </w:t>
            </w:r>
            <w:r>
              <w:rPr>
                <w:rFonts w:ascii="Consolas" w:hAnsi="Consolas"/>
                <w:color w:val="24292E"/>
                <w:sz w:val="18"/>
              </w:rPr>
              <w:t>/v1/responses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episodes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128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ast_match</w:t>
            </w:r>
            <w:r>
              <w:rPr>
                <w:sz w:val="18"/>
              </w:rPr>
              <w:t xml:space="preserve"> A0 / A2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0.970 (32/33) / 0.909 (30/33)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95% CI (Wilson)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 (0.847, 0.995), A2 (0.764, 0.969)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contingency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30, A0-only 2, A2-only 0, neither 1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assertions passed while calls were wrong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calls right while assertions failed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</w:tbl>
    <w:p/>
    <w:p>
      <w:pPr>
        <w:pStyle w:val="Heading2"/>
      </w:pPr>
      <w:r>
        <w:t>Limitations</w:t>
      </w:r>
    </w:p>
    <w:p>
      <w:pPr>
        <w:pStyle w:val="ListBullet"/>
      </w:pPr>
      <w:r>
        <w:rPr>
          <w:b/>
        </w:rPr>
        <w:t>Not statistically significant, and the report must not imply otherwise.</w:t>
      </w:r>
      <w:r>
        <w:t xml:space="preserve"> McNemar exact on</w:t>
      </w:r>
    </w:p>
    <w:p>
      <w:r>
        <w:t xml:space="preserve">2 discordant pairs gives p = 0.50. With 33 paired tasks this arm can only detect a large effect. The finding that carries weight is </w:t>
      </w:r>
      <w:r>
        <w:rPr>
          <w:b/>
        </w:rPr>
        <w:t>§1's agreement gap</w:t>
      </w:r>
      <w:r>
        <w:t xml:space="preserve"> (1.000 vs 0.939), which is a statement about what the assertions can see, not a claim that the model is significantly worse on paraphrases.</w:t>
      </w:r>
    </w:p>
    <w:p>
      <w:pPr>
        <w:pStyle w:val="ListBullet"/>
      </w:pPr>
      <w:r>
        <w:rPr>
          <w:b/>
        </w:rPr>
        <w:t>One target model, and it is the generator's own family.</w:t>
      </w:r>
      <w:r>
        <w:t xml:space="preserve"> A2's paraphrases and this model</w:t>
      </w:r>
    </w:p>
    <w:p>
      <w:r>
        <w:t xml:space="preserve">are both </w:t>
      </w:r>
      <w:r>
        <w:rPr>
          <w:rFonts w:ascii="Consolas" w:hAnsi="Consolas"/>
          <w:color w:val="24292E"/>
          <w:sz w:val="19"/>
        </w:rPr>
        <w:t>gpt-oss-120b</w:t>
      </w:r>
      <w:r>
        <w:t>. Self-preference is uncontrolled; a second family is the first thing to add.</w:t>
      </w:r>
    </w:p>
    <w:p>
      <w:pPr>
        <w:pStyle w:val="ListBullet"/>
      </w:pPr>
      <w:r>
        <w:rPr>
          <w:b/>
        </w:rPr>
        <w:t>One paraphrase per task.</w:t>
      </w:r>
      <w:r>
        <w:t xml:space="preserve"> </w:t>
      </w:r>
      <w:r>
        <w:rPr>
          <w:rFonts w:ascii="Consolas" w:hAnsi="Consolas"/>
          <w:color w:val="24292E"/>
          <w:sz w:val="19"/>
        </w:rPr>
        <w:t>--a2-run</w:t>
      </w:r>
      <w:r>
        <w:t xml:space="preserve"> fixes one variant index. This is the effect of </w:t>
      </w:r>
      <w:r>
        <w:rPr>
          <w:i/>
        </w:rPr>
        <w:t>that</w:t>
      </w:r>
    </w:p>
    <w:p>
      <w:r>
        <w:t>wording, not of paraphrasing in general. Nine other unflagged indices exist and would give an effect distribution rather than a point.</w:t>
      </w:r>
    </w:p>
    <w:p>
      <w:pPr>
        <w:pStyle w:val="ListBullet"/>
      </w:pPr>
      <w:r>
        <w:rPr>
          <w:b/>
        </w:rPr>
        <w:t>Later user turns are replayed, not simulated,</w:t>
      </w:r>
      <w:r>
        <w:t xml:space="preserve"> so the 8 multi-turn tasks are scored against</w:t>
      </w:r>
    </w:p>
    <w:p>
      <w:r>
        <w:t>a user who does not react to what the model said.</w:t>
      </w:r>
    </w:p>
    <w:p>
      <w:pPr>
        <w:pStyle w:val="ListBullet"/>
      </w:pPr>
      <w:r>
        <w:rPr>
          <w:b/>
        </w:rPr>
        <w:t>`ast_match` is exact-set, order-sensitive</w:t>
      </w:r>
      <w:r>
        <w:t xml:space="preserve"> except where </w:t>
      </w:r>
      <w:r>
        <w:rPr>
          <w:rFonts w:ascii="Consolas" w:hAnsi="Consolas"/>
          <w:color w:val="24292E"/>
          <w:sz w:val="19"/>
        </w:rPr>
        <w:t>call_order: any</w:t>
      </w:r>
      <w:r>
        <w:t>. A model that</w:t>
      </w:r>
    </w:p>
    <w:p>
      <w:r>
        <w:t xml:space="preserve">reaches the same state by a different legal route scores as wrong. That is a deliberate choice — it is the strict reading — but it is why </w:t>
      </w:r>
      <w:r>
        <w:rPr>
          <w:rFonts w:ascii="Consolas" w:hAnsi="Consolas"/>
          <w:color w:val="24292E"/>
          <w:sz w:val="19"/>
        </w:rPr>
        <w:t>assertion</w:t>
      </w:r>
      <w:r>
        <w:t xml:space="preserve"> is reported beside it rather than instead of it.</w:t>
      </w:r>
    </w:p>
    <w:p>
      <w:pPr>
        <w:pStyle w:val="Heading2"/>
      </w:pPr>
      <w:r>
        <w:t>Artifacts</w:t>
      </w:r>
    </w:p>
    <w:p>
      <w:r>
        <w:rPr>
          <w:rFonts w:ascii="Consolas" w:hAnsi="Consolas"/>
          <w:color w:val="24292E"/>
          <w:sz w:val="19"/>
        </w:rPr>
        <w:t>results/A5/report.md</w:t>
      </w:r>
      <w:r>
        <w:t xml:space="preserve">, </w:t>
      </w:r>
      <w:r>
        <w:rPr>
          <w:rFonts w:ascii="Consolas" w:hAnsi="Consolas"/>
          <w:color w:val="24292E"/>
          <w:sz w:val="19"/>
        </w:rPr>
        <w:t>results/A5/metrics.json</w:t>
      </w:r>
      <w:r>
        <w:t xml:space="preserve"> (stamped </w:t>
      </w:r>
      <w:r>
        <w:rPr>
          <w:rFonts w:ascii="Consolas" w:hAnsi="Consolas"/>
          <w:color w:val="24292E"/>
          <w:sz w:val="19"/>
        </w:rPr>
        <w:t>metrics_version: 1.0</w:t>
      </w:r>
      <w:r>
        <w:t xml:space="preserve">), </w:t>
      </w:r>
      <w:r>
        <w:rPr>
          <w:rFonts w:ascii="Consolas" w:hAnsi="Consolas"/>
          <w:color w:val="24292E"/>
          <w:sz w:val="19"/>
        </w:rPr>
        <w:t>results/A5/trials.json</w:t>
      </w:r>
      <w:r>
        <w:t xml:space="preserve"> (every rollout, both wordings, with the calls it made), </w:t>
      </w:r>
      <w:r>
        <w:rPr>
          <w:rFonts w:ascii="Consolas" w:hAnsi="Consolas"/>
          <w:color w:val="24292E"/>
          <w:sz w:val="19"/>
        </w:rPr>
        <w:t>target/client.py</w:t>
      </w:r>
      <w:r>
        <w:t xml:space="preserve">, </w:t>
      </w:r>
      <w:r>
        <w:rPr>
          <w:rFonts w:ascii="Consolas" w:hAnsi="Consolas"/>
          <w:color w:val="24292E"/>
          <w:sz w:val="19"/>
        </w:rPr>
        <w:t>target/rollout.py</w:t>
      </w:r>
      <w:r>
        <w:t xml:space="preserve">, </w:t>
      </w:r>
      <w:r>
        <w:rPr>
          <w:rFonts w:ascii="Consolas" w:hAnsi="Consolas"/>
          <w:color w:val="24292E"/>
          <w:sz w:val="19"/>
        </w:rPr>
        <w:t>target/score.py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Paired outcome, both verdicts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delta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agreement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discordant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McNemar p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0.9697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0.9697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ast_match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0.9697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0.9091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-0.0606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0.9394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</w:tr>
    </w:tbl>
    <w:p/>
    <w:p>
      <w:pPr>
        <w:pStyle w:val="Heading3"/>
      </w:pPr>
      <w:r>
        <w:t>A.2 Contingency (ast_match)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 correct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 wrong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 correct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 wrong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3"/>
      </w:pPr>
      <w:r>
        <w:t>A.3 Per turn policy (ast_match)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delta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flipped down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flipped up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clarify_only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confirmation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-0.4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correction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dependent_call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irrelevant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missing_slot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multi_tool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negative_path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single_turn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</w:tbl>
    <w:p/>
    <w:p>
      <w:pPr>
        <w:pStyle w:val="Heading3"/>
      </w:pPr>
      <w:r>
        <w:t>A.4 Verdict disagreement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case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assertions passed while the calls were wrong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calls right while assertions failed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bfcl_ablation/run_a5.py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12,107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sha256:0a1e5dbfb9dae266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3,024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sha256:a2aae87fd0d34e7c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72,348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sha256:ed053c7d801c8afe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12,158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sha256:5e9ae9b70bdd3c08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