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4EB8A" w14:textId="09921C1E" w:rsidR="003A2151" w:rsidRPr="009C4D05" w:rsidRDefault="001503B1">
      <w:pPr>
        <w:pStyle w:val="Author"/>
        <w:rPr>
          <w:rFonts w:ascii="Times New Roman" w:eastAsiaTheme="majorEastAsia" w:hAnsi="Times New Roman" w:cs="Times New Roman"/>
          <w:b/>
          <w:bCs/>
          <w:color w:val="000000" w:themeColor="text1"/>
        </w:rPr>
      </w:pPr>
      <w:r>
        <w:rPr>
          <w:rFonts w:ascii="Times New Roman" w:eastAsiaTheme="majorEastAsia" w:hAnsi="Times New Roman" w:cs="Times New Roman"/>
          <w:b/>
          <w:bCs/>
          <w:color w:val="000000" w:themeColor="text1"/>
        </w:rPr>
        <w:t>WHEN DIVERSE MINDS HELP AND WHEN THEY HURT: A TWO-FORCE ACCOUNT OF SUBSTRATE HETEROGENEITY IN COOPERATIVE TEAMS</w:t>
      </w:r>
    </w:p>
    <w:p w14:paraId="139DFD12" w14:textId="77777777" w:rsidR="001503B1" w:rsidRDefault="001503B1">
      <w:pPr>
        <w:pStyle w:val="AbstractTitle"/>
        <w:rPr>
          <w:rFonts w:ascii="Times New Roman" w:hAnsi="Times New Roman" w:cs="Times New Roman"/>
          <w:color w:val="000000" w:themeColor="text1"/>
          <w:sz w:val="24"/>
          <w:szCs w:val="24"/>
        </w:rPr>
      </w:pPr>
    </w:p>
    <w:p w14:paraId="2E4CC81A" w14:textId="6EB726F4" w:rsidR="001503B1" w:rsidRDefault="001503B1" w:rsidP="001503B1">
      <w:pPr>
        <w:pStyle w:val="AbstractTitle"/>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ABSTRACT</w:t>
      </w:r>
    </w:p>
    <w:p w14:paraId="377A4F74" w14:textId="77777777" w:rsidR="00800750" w:rsidRPr="00800750" w:rsidRDefault="00800750" w:rsidP="00800750">
      <w:pPr>
        <w:pStyle w:val="Abstract"/>
      </w:pPr>
    </w:p>
    <w:p w14:paraId="27282FC1"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p>
    <w:p w14:paraId="4BBCD5A8" w14:textId="4B0426D3" w:rsidR="009C4D05" w:rsidRP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t xml:space="preserve">Cooperative diagnosis in small teams — where members combine partial evidence, communicate beliefs, and coordinate on a shared understanding — has been formalized in the Extended Mutual Belief Model (EMBM) of Okabe et al. (2025). </w:t>
      </w:r>
      <w:r w:rsidR="0089722D" w:rsidRPr="0089722D">
        <w:rPr>
          <w:rFonts w:ascii="Times New Roman" w:eastAsia="Times New Roman" w:hAnsi="Times New Roman" w:cs="Times New Roman"/>
          <w:color w:val="000000" w:themeColor="text1"/>
        </w:rPr>
        <w:t>This architecture provides a foundational framework for modeling social cognition and collective problem-solving in artificial societies.</w:t>
      </w:r>
      <w:r w:rsidR="0089722D" w:rsidRPr="0089722D">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 xml:space="preserve">This is an agent-based simulation where each of the three agents maintains a stack of seven Bayesian belief networks representing self, direct beliefs about teammates, and projected beliefs about how teammates in turn model each other. A near-universal assumption of this and related recursive-mutual-belief architectures is that all agents in a team share the same inference substrate. Real cooperative teams, particularly the increasingly common human–AI teams in operational settings, do not exhibit this. We extend EMBM with pluggable inference engines (Bayesian belief network, hidden-Markov approximation, and decision tree) and use agent-based simulation to study three-agent teams in which one agent runs a different substrate from the others, crossed with a projection-mode manipulation that varies whether agents model teammates using their own substrate (naive projection) or the teammate’s true substrate (aware projection). Across two 17-node Bayesian networks (Okabe et al.’s Kanno car-diagnosis network and a controlled synthetic domain, N=15 replicates per cell) plus a scale-expansion validation on the canonical 37-node ALARM anesthesia-monitoring network of Beinlich et al. (1989) (N=5 replicates per cell), across two mismatched-substrate axes and eight hard scenarios per network, we find that substrate heterogeneity produces two distinct effects that must be considered jointly: a sensitivity gain, in which aware mismatched teams detect substantially more inter-agent conflicts than matched teams in every 17-node condition tested; and an inference quality loss, in which the mismatched substrate degrades single-agent diagnostic accuracy in proportion to its inferential distance from exact Bayesian propagation. The signed effect of substrate mismatch on team accuracy is the balance of these two forces, and it can favor either heterogeneity or homogeneity depending on how much the mismatched substrate deviates from exact propagation. On ALARM, the balance is preserved directionally but attenuated in magnitude — consistent with the two-force account’s prediction that both forces should dilute across larger inference surfaces. Naive projection systematically suppresses most of the sensitivity signal, producing an illusory-agreement pathology whose severity is bounded by the underlying substrate gap. We propose a two-force account of substrate heterogeneity in recursive-mutual-belief teams. </w:t>
      </w:r>
      <w:r w:rsidR="00AE21BC" w:rsidRPr="00AE21BC">
        <w:rPr>
          <w:rFonts w:ascii="Times New Roman" w:eastAsia="Times New Roman" w:hAnsi="Times New Roman" w:cs="Times New Roman"/>
          <w:color w:val="000000" w:themeColor="text1"/>
        </w:rPr>
        <w:t xml:space="preserve">These findings offer design principles </w:t>
      </w:r>
      <w:r w:rsidR="007772E1">
        <w:rPr>
          <w:rFonts w:ascii="Times New Roman" w:eastAsia="Times New Roman" w:hAnsi="Times New Roman" w:cs="Times New Roman"/>
          <w:color w:val="000000" w:themeColor="text1"/>
        </w:rPr>
        <w:t>to optimize coordination and mitigate hidden misunderstandings in</w:t>
      </w:r>
      <w:r w:rsidR="00AE21BC" w:rsidRPr="00AE21BC">
        <w:rPr>
          <w:rFonts w:ascii="Times New Roman" w:eastAsia="Times New Roman" w:hAnsi="Times New Roman" w:cs="Times New Roman"/>
          <w:color w:val="000000" w:themeColor="text1"/>
        </w:rPr>
        <w:t xml:space="preserve"> increasingly complex human–AI collaborative networks.</w:t>
      </w:r>
      <w:r w:rsidR="00AE21BC">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All model code, simulation runners, and results data are publicly released for replication.</w:t>
      </w:r>
    </w:p>
    <w:p w14:paraId="265D6001"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p>
    <w:p w14:paraId="6738D543" w14:textId="67191C4A" w:rsidR="009C4D05" w:rsidRP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b/>
          <w:bCs/>
          <w:color w:val="000000" w:themeColor="text1"/>
        </w:rPr>
        <w:t>Keywords:</w:t>
      </w:r>
      <w:r>
        <w:rPr>
          <w:rFonts w:ascii="Times New Roman" w:eastAsia="Times New Roman" w:hAnsi="Times New Roman" w:cs="Times New Roman"/>
          <w:color w:val="000000" w:themeColor="text1"/>
        </w:rPr>
        <w:t xml:space="preserve"> Extended Mutual Belief Model (EMBM); team cognition; agent-based simulation; inference substrate heterogeneity; </w:t>
      </w:r>
      <w:r w:rsidR="00304AAE">
        <w:rPr>
          <w:rFonts w:ascii="Times New Roman" w:eastAsia="Times New Roman" w:hAnsi="Times New Roman" w:cs="Times New Roman"/>
          <w:color w:val="000000" w:themeColor="text1"/>
        </w:rPr>
        <w:t xml:space="preserve">theory of mind; </w:t>
      </w:r>
      <w:r>
        <w:rPr>
          <w:rFonts w:ascii="Times New Roman" w:eastAsia="Times New Roman" w:hAnsi="Times New Roman" w:cs="Times New Roman"/>
          <w:color w:val="000000" w:themeColor="text1"/>
        </w:rPr>
        <w:t>cooperative diagnosis; team situation awareness; recursive mutual beliefs; Human–AI teaming</w:t>
      </w:r>
      <w:r w:rsidR="0029015F">
        <w:rPr>
          <w:rFonts w:ascii="Times New Roman" w:eastAsia="Times New Roman" w:hAnsi="Times New Roman" w:cs="Times New Roman"/>
          <w:color w:val="000000" w:themeColor="text1"/>
        </w:rPr>
        <w:t xml:space="preserve">; </w:t>
      </w:r>
      <w:r w:rsidR="000D6252">
        <w:rPr>
          <w:rFonts w:ascii="Times New Roman" w:eastAsia="Times New Roman" w:hAnsi="Times New Roman" w:cs="Times New Roman"/>
          <w:color w:val="000000" w:themeColor="text1"/>
        </w:rPr>
        <w:t>B</w:t>
      </w:r>
      <w:r w:rsidR="000D6252" w:rsidRPr="0029015F">
        <w:rPr>
          <w:rFonts w:ascii="Times New Roman" w:eastAsia="Times New Roman" w:hAnsi="Times New Roman" w:cs="Times New Roman"/>
          <w:color w:val="000000" w:themeColor="text1"/>
        </w:rPr>
        <w:t>ayesian</w:t>
      </w:r>
      <w:r w:rsidR="0029015F" w:rsidRPr="0029015F">
        <w:rPr>
          <w:rFonts w:ascii="Times New Roman" w:eastAsia="Times New Roman" w:hAnsi="Times New Roman" w:cs="Times New Roman"/>
          <w:color w:val="000000" w:themeColor="text1"/>
        </w:rPr>
        <w:t xml:space="preserve"> </w:t>
      </w:r>
      <w:r w:rsidR="000D6252">
        <w:rPr>
          <w:rFonts w:ascii="Times New Roman" w:eastAsia="Times New Roman" w:hAnsi="Times New Roman" w:cs="Times New Roman"/>
          <w:color w:val="000000" w:themeColor="text1"/>
        </w:rPr>
        <w:t>b</w:t>
      </w:r>
      <w:r w:rsidR="0029015F" w:rsidRPr="0029015F">
        <w:rPr>
          <w:rFonts w:ascii="Times New Roman" w:eastAsia="Times New Roman" w:hAnsi="Times New Roman" w:cs="Times New Roman"/>
          <w:color w:val="000000" w:themeColor="text1"/>
        </w:rPr>
        <w:t xml:space="preserve">elief </w:t>
      </w:r>
      <w:r w:rsidR="000D6252">
        <w:rPr>
          <w:rFonts w:ascii="Times New Roman" w:eastAsia="Times New Roman" w:hAnsi="Times New Roman" w:cs="Times New Roman"/>
          <w:color w:val="000000" w:themeColor="text1"/>
        </w:rPr>
        <w:t>n</w:t>
      </w:r>
      <w:r w:rsidR="0029015F" w:rsidRPr="0029015F">
        <w:rPr>
          <w:rFonts w:ascii="Times New Roman" w:eastAsia="Times New Roman" w:hAnsi="Times New Roman" w:cs="Times New Roman"/>
          <w:color w:val="000000" w:themeColor="text1"/>
        </w:rPr>
        <w:t>etworks</w:t>
      </w:r>
    </w:p>
    <w:p w14:paraId="0A5A4F73" w14:textId="77777777" w:rsidR="009C4D05" w:rsidRDefault="009C4D05" w:rsidP="27B18DEF">
      <w:pPr>
        <w:spacing w:after="0"/>
        <w:textAlignment w:val="baseline"/>
        <w:rPr>
          <w:rFonts w:ascii="Times New Roman" w:eastAsia="Times New Roman" w:hAnsi="Times New Roman" w:cs="Times New Roman"/>
          <w:color w:val="000000" w:themeColor="text1"/>
        </w:rPr>
      </w:pPr>
    </w:p>
    <w:p w14:paraId="41415990" w14:textId="77777777" w:rsidR="003E7A5D" w:rsidRDefault="003E7A5D" w:rsidP="27B18DEF">
      <w:pPr>
        <w:spacing w:after="0"/>
        <w:textAlignment w:val="baseline"/>
        <w:rPr>
          <w:rFonts w:ascii="Times New Roman" w:eastAsia="Times New Roman" w:hAnsi="Times New Roman" w:cs="Times New Roman"/>
          <w:color w:val="000000" w:themeColor="text1"/>
        </w:rPr>
      </w:pPr>
    </w:p>
    <w:p w14:paraId="1F0015B1" w14:textId="77777777" w:rsidR="00DA3A84" w:rsidRDefault="00DA3A84" w:rsidP="27B18DEF">
      <w:pPr>
        <w:spacing w:after="0"/>
        <w:textAlignment w:val="baseline"/>
        <w:rPr>
          <w:rFonts w:ascii="Times New Roman" w:eastAsia="Times New Roman" w:hAnsi="Times New Roman" w:cs="Times New Roman"/>
          <w:color w:val="000000" w:themeColor="text1"/>
        </w:rPr>
      </w:pPr>
    </w:p>
    <w:p w14:paraId="61401E9D" w14:textId="77777777" w:rsidR="00DA3A84" w:rsidRPr="009C4D05" w:rsidRDefault="00DA3A84" w:rsidP="27B18DEF">
      <w:pPr>
        <w:spacing w:after="0"/>
        <w:textAlignment w:val="baseline"/>
        <w:rPr>
          <w:rFonts w:ascii="Times New Roman" w:eastAsia="Times New Roman" w:hAnsi="Times New Roman" w:cs="Times New Roman"/>
          <w:color w:val="000000" w:themeColor="text1"/>
        </w:rPr>
      </w:pPr>
    </w:p>
    <w:p w14:paraId="45A695AA" w14:textId="77777777" w:rsidR="009C4D05" w:rsidRDefault="009C4D05" w:rsidP="009C4D05">
      <w:pPr>
        <w:spacing w:after="0"/>
        <w:textAlignment w:val="baseline"/>
        <w:rPr>
          <w:rFonts w:ascii="Times New Roman" w:eastAsia="Times New Roman" w:hAnsi="Times New Roman" w:cs="Times New Roman"/>
          <w:b/>
          <w:bCs/>
          <w:color w:val="000000" w:themeColor="text1"/>
          <w:bdr w:val="none" w:sz="0" w:space="0" w:color="auto" w:frame="1"/>
          <w:shd w:val="clear" w:color="auto" w:fill="C6C6C6"/>
        </w:rPr>
      </w:pPr>
      <w:r>
        <w:rPr>
          <w:rFonts w:ascii="Times New Roman" w:eastAsia="Times New Roman" w:hAnsi="Times New Roman" w:cs="Times New Roman"/>
          <w:b/>
          <w:bCs/>
          <w:color w:val="000000" w:themeColor="text1"/>
        </w:rPr>
        <w:t>1. Introduction</w:t>
      </w:r>
    </w:p>
    <w:p w14:paraId="22C87F04" w14:textId="77777777" w:rsidR="009C4D05" w:rsidRPr="009C4D05" w:rsidRDefault="009C4D05" w:rsidP="009C4D05">
      <w:pPr>
        <w:spacing w:after="0"/>
        <w:textAlignment w:val="baseline"/>
        <w:rPr>
          <w:rFonts w:ascii="Times New Roman" w:eastAsia="Times New Roman" w:hAnsi="Times New Roman" w:cs="Times New Roman"/>
          <w:b/>
          <w:bCs/>
          <w:color w:val="000000" w:themeColor="text1"/>
        </w:rPr>
      </w:pPr>
    </w:p>
    <w:p w14:paraId="00BD7148"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Cooperative diagnosis under partial observability requires more than pooling evidence. It requires each agent to maintain not only a belief about the state of the world, but a belief about what its teammates believe, and a belief about what its teammates believe about its beliefs. Okabe et al. (2025) formalized this in the Extended Mutual Belief Model (EMBM), giving each agent a stack of seven belief structures — one self-cognition, two direct beliefs about teammates, and four projected beliefs about teammates’ beliefs about others — updated by metacognitive conflict resolution across the diagnostic action sequence. EMBM has become an anchoring computational account of how team situation awareness is constructed through communication, and its published curves for a car-diagnosis domain are widely reproduced as a benchmark for multi-agent belief coordination.</w:t>
      </w:r>
      <w:r>
        <w:rPr>
          <w:rFonts w:ascii="Times New Roman" w:eastAsia="Times New Roman" w:hAnsi="Times New Roman" w:cs="Times New Roman"/>
          <w:color w:val="000000" w:themeColor="text1"/>
          <w:bdr w:val="none" w:sz="0" w:space="0" w:color="auto" w:frame="1"/>
          <w:shd w:val="clear" w:color="auto" w:fill="C6C6C6"/>
        </w:rPr>
        <w:t> </w:t>
      </w:r>
    </w:p>
    <w:p w14:paraId="7EAF8CCD"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EMBM, like nearly all recursive mutual-belief architectures we are aware of, assumes computational homogeneity: every agent, and every one of the seven belief structures inside every agent, runs on the same inference substrate. In the original formulation of Okabe et al. (2025), this substrate is a Bayesian belief network (BBN) with exact propagation over a shared causal graph. That assumption is analytically convenient — it lets projection be a straightforward act of running the same machinery under different priors — but it is empirically strong. Real cooperative diagnosis teams, whether biological or increasingly heterogeneous human-AI teams, do not share substrates. A radiologist and a triage algorithm do not compute posteriors the same way; a pilot and a flight-management system do not represent uncertainty on the same scale; a domain expert and a large language model do not carry out inference through the same operations even when they are handed the same evidence. Whether the EMBM machinery survives this heterogeneity — whether recursive mutual beliefs still coordinate a team when the teammates literally cannot represent each other’s inferences — is unknown.</w:t>
      </w:r>
      <w:r>
        <w:rPr>
          <w:rFonts w:ascii="Times New Roman" w:eastAsia="Times New Roman" w:hAnsi="Times New Roman" w:cs="Times New Roman"/>
          <w:color w:val="000000" w:themeColor="text1"/>
          <w:bdr w:val="none" w:sz="0" w:space="0" w:color="auto" w:frame="1"/>
          <w:shd w:val="clear" w:color="auto" w:fill="C6C6C6"/>
        </w:rPr>
        <w:t> </w:t>
      </w:r>
    </w:p>
    <w:p w14:paraId="2FB996C7"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We take up that question by extending EMBM with a pluggable inference substrate. The seven belief structures within each agent and across agents are no longer required to be BBNs. They implement a minimal three-operation interface — ingest(evidence), posterior(node), diagnosis (node, ``threshold) — that is sufficient for the full EMBM control logic while allowing the underlying computation to be a BBN, a hidden-Markov chain, a decision tree, or any other posterior-yielding architecture. Every engine consumes the same shared causal specification, so representational choice is manipulated while domain knowledge is held constant. Agents in a team can then be assigned different substrates, and the projection layer that models teammate beliefs can be configured either aware (each agent models its teammates using their true substrate) or naive (each agent models its teammates using its own substrate, as if the assumption of homogeneity held).</w:t>
      </w:r>
      <w:r>
        <w:rPr>
          <w:rFonts w:ascii="Times New Roman" w:eastAsia="Times New Roman" w:hAnsi="Times New Roman" w:cs="Times New Roman"/>
          <w:color w:val="000000" w:themeColor="text1"/>
          <w:bdr w:val="none" w:sz="0" w:space="0" w:color="auto" w:frame="1"/>
          <w:shd w:val="clear" w:color="auto" w:fill="C6C6C6"/>
        </w:rPr>
        <w:t> </w:t>
      </w:r>
    </w:p>
    <w:p w14:paraId="7DDA0A82" w14:textId="79E8189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The immediate question is whether heterogeneity is costly. Given that the tree engine, in particular, is a substantially weaker inference machine than a BBN — it holds no joint posterior, cannot integrate observations back through a causal chain, and commits crisply on argmax — one would predict that placing a tree agent in a team otherwise composed of BBN agents should hurt the team’s accuracy, and that this hurt should be larger when the tree teammate is modeled naively (as a BBN) than when it is modeled aware (as a tree). This is essentially the </w:t>
      </w:r>
      <w:proofErr w:type="spellStart"/>
      <w:r>
        <w:rPr>
          <w:rFonts w:ascii="Times New Roman" w:eastAsia="Times New Roman" w:hAnsi="Times New Roman" w:cs="Times New Roman"/>
          <w:color w:val="000000" w:themeColor="text1"/>
        </w:rPr>
        <w:lastRenderedPageBreak/>
        <w:t>Anthropomorphization</w:t>
      </w:r>
      <w:proofErr w:type="spellEnd"/>
      <w:r>
        <w:rPr>
          <w:rFonts w:ascii="Times New Roman" w:eastAsia="Times New Roman" w:hAnsi="Times New Roman" w:cs="Times New Roman"/>
          <w:color w:val="000000" w:themeColor="text1"/>
        </w:rPr>
        <w:t xml:space="preserve"> Trap hypothesis: assuming your heterogeneous teammate reasons as you do </w:t>
      </w:r>
      <w:proofErr w:type="gramStart"/>
      <w:r>
        <w:rPr>
          <w:rFonts w:ascii="Times New Roman" w:eastAsia="Times New Roman" w:hAnsi="Times New Roman" w:cs="Times New Roman"/>
          <w:color w:val="000000" w:themeColor="text1"/>
        </w:rPr>
        <w:t>produces</w:t>
      </w:r>
      <w:proofErr w:type="gramEnd"/>
      <w:r>
        <w:rPr>
          <w:rFonts w:ascii="Times New Roman" w:eastAsia="Times New Roman" w:hAnsi="Times New Roman" w:cs="Times New Roman"/>
          <w:color w:val="000000" w:themeColor="text1"/>
        </w:rPr>
        <w:t xml:space="preserve"> a false sense of mutual understanding and a coordination pathology.</w:t>
      </w:r>
    </w:p>
    <w:p w14:paraId="30D2229A"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The empirical picture is more nuanced. In this paper, we report the results of a full 2×2×2 experimental design (network × mismatched-substrate axis × projection mode, plus the matched/mismatched composition contrast) run on two 17-node Bayesian networks — a controlled synthetic domain and the real Kanno car-diagnosis network — with a scale-expansion validation on the canonical 37-node ALARM anesthesia-monitoring network of Beinlich et al. (1989). We use eight difficulty-ranked scenarios per network, N=15 Monte Carlo runs per cell on the 17-node networks and N=5 on ALARM, and instrumentation that records not only final team accuracy but also the initial and final counts of inter-agent conflicts detected by each agent, decomposed by whether the actor’s own belief agreed with ground truth (a real conflict where help was needed) or disagreed with ground truth (a phantom conflict where the actor was already right and the detected mismatch was illusory from an oracle’s perspective).</w:t>
      </w:r>
      <w:r>
        <w:rPr>
          <w:rFonts w:ascii="Times New Roman" w:eastAsia="Times New Roman" w:hAnsi="Times New Roman" w:cs="Times New Roman"/>
          <w:color w:val="000000" w:themeColor="text1"/>
          <w:bdr w:val="none" w:sz="0" w:space="0" w:color="auto" w:frame="1"/>
          <w:shd w:val="clear" w:color="auto" w:fill="C6C6C6"/>
        </w:rPr>
        <w:t> </w:t>
      </w:r>
    </w:p>
    <w:p w14:paraId="08862DB7" w14:textId="37BCFE83" w:rsidR="009C4D05" w:rsidRPr="009C4D05" w:rsidRDefault="009C4D05" w:rsidP="009C4D05">
      <w:pPr>
        <w:spacing w:after="0"/>
        <w:textAlignment w:val="baseline"/>
      </w:pPr>
      <w:r>
        <w:rPr>
          <w:rFonts w:ascii="Times New Roman" w:eastAsia="Times New Roman" w:hAnsi="Times New Roman" w:cs="Times New Roman"/>
          <w:color w:val="000000" w:themeColor="text1"/>
        </w:rPr>
        <w:t xml:space="preserve">Our contribution has three parts. First, we document the substrate-mismatch cost in a proper multi-network, multi-axis design: the cost is real and always positive when the mismatched substrate is inferentially weaker than BBN, but it reverses when the mismatched substrate is inferentially close to BBN, in the sense that its committed diagnoses seldom disagree with BBN’s. Second, we identify a robust upstream mechanism — a sensitivity </w:t>
      </w:r>
      <w:proofErr w:type="gramStart"/>
      <w:r>
        <w:rPr>
          <w:rFonts w:ascii="Times New Roman" w:eastAsia="Times New Roman" w:hAnsi="Times New Roman" w:cs="Times New Roman"/>
          <w:color w:val="000000" w:themeColor="text1"/>
        </w:rPr>
        <w:t>gain</w:t>
      </w:r>
      <w:proofErr w:type="gramEnd"/>
      <w:r>
        <w:rPr>
          <w:rFonts w:ascii="Times New Roman" w:eastAsia="Times New Roman" w:hAnsi="Times New Roman" w:cs="Times New Roman"/>
          <w:color w:val="000000" w:themeColor="text1"/>
        </w:rPr>
        <w:t xml:space="preserve"> in initial conflict detection under aware projection with mismatched substrates — that replicates in all four (network × axis) cells with per-scenario perfect replication in three of them and 6/8 in the fourth. Third, we show that this sensitivity gain is only partially productive: roughly half of the extra conflicts detected are phantom, in the sense that the actor was already correct, so the mismatched-aware team is not smarter but sensitized. We synthesize these findings into a two-force account: the signed effect of substrate mismatch on team accuracy is (real-sensitivity gain) minus (single-agent inference quality loss), and both forces are measurable independently.</w:t>
      </w:r>
      <w:r>
        <w:rPr>
          <w:rFonts w:ascii="Times New Roman" w:eastAsia="Times New Roman" w:hAnsi="Times New Roman" w:cs="Times New Roman"/>
          <w:color w:val="000000" w:themeColor="text1"/>
          <w:bdr w:val="none" w:sz="0" w:space="0" w:color="auto" w:frame="1"/>
          <w:shd w:val="clear" w:color="auto" w:fill="C6C6C6"/>
        </w:rPr>
        <w:t> </w:t>
      </w:r>
    </w:p>
    <w:p w14:paraId="1E9468B3" w14:textId="77777777" w:rsidR="27B18DEF" w:rsidRDefault="27B18DEF" w:rsidP="27B18DEF">
      <w:pPr>
        <w:spacing w:after="0"/>
        <w:rPr>
          <w:rFonts w:ascii="Times New Roman" w:eastAsia="Times New Roman" w:hAnsi="Times New Roman" w:cs="Times New Roman"/>
          <w:color w:val="000000" w:themeColor="text1"/>
        </w:rPr>
      </w:pPr>
    </w:p>
    <w:p w14:paraId="3E815CBD" w14:textId="77777777" w:rsid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These findings answer two research questions. </w:t>
      </w:r>
    </w:p>
    <w:p w14:paraId="03CFA3F8"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p>
    <w:p w14:paraId="4FD20462" w14:textId="77777777" w:rsidR="009C4D05" w:rsidRPr="009C4D05" w:rsidRDefault="009C4D05" w:rsidP="009C4D05">
      <w:pPr>
        <w:spacing w:after="0"/>
        <w:textAlignment w:val="baseline"/>
        <w:rPr>
          <w:rFonts w:ascii="Times New Roman" w:eastAsia="Times New Roman" w:hAnsi="Times New Roman" w:cs="Times New Roman"/>
          <w:i/>
          <w:iCs/>
          <w:color w:val="000000" w:themeColor="text1"/>
        </w:rPr>
      </w:pPr>
      <w:r>
        <w:rPr>
          <w:rFonts w:ascii="Times New Roman" w:eastAsia="Times New Roman" w:hAnsi="Times New Roman" w:cs="Times New Roman"/>
          <w:b/>
          <w:bCs/>
          <w:i/>
          <w:iCs/>
          <w:color w:val="000000" w:themeColor="text1"/>
        </w:rPr>
        <w:t>RQ1:</w:t>
      </w:r>
      <w:r>
        <w:rPr>
          <w:rFonts w:ascii="Times New Roman" w:eastAsia="Times New Roman" w:hAnsi="Times New Roman" w:cs="Times New Roman"/>
          <w:i/>
          <w:iCs/>
          <w:color w:val="000000" w:themeColor="text1"/>
        </w:rPr>
        <w:t xml:space="preserve"> Which substrate, used as an outlier in a mostly-BBN team, produces heterogeneity effects most like real mixed-competence teams? </w:t>
      </w:r>
    </w:p>
    <w:p w14:paraId="46FF12A5" w14:textId="77777777" w:rsidR="009C4D05" w:rsidRDefault="009C4D05" w:rsidP="009C4D05">
      <w:pPr>
        <w:spacing w:after="0"/>
        <w:textAlignment w:val="baseline"/>
        <w:rPr>
          <w:rFonts w:ascii="Times New Roman" w:eastAsia="Times New Roman" w:hAnsi="Times New Roman" w:cs="Times New Roman"/>
          <w:b/>
          <w:bCs/>
          <w:i/>
          <w:iCs/>
          <w:color w:val="000000" w:themeColor="text1"/>
        </w:rPr>
      </w:pPr>
    </w:p>
    <w:p w14:paraId="427B2520" w14:textId="77777777" w:rsidR="009C4D05" w:rsidRPr="009C4D05" w:rsidRDefault="009C4D05" w:rsidP="009C4D05">
      <w:pPr>
        <w:spacing w:after="0"/>
        <w:textAlignment w:val="baseline"/>
        <w:rPr>
          <w:rFonts w:ascii="Times New Roman" w:eastAsia="Times New Roman" w:hAnsi="Times New Roman" w:cs="Times New Roman"/>
          <w:i/>
          <w:iCs/>
          <w:color w:val="000000" w:themeColor="text1"/>
        </w:rPr>
      </w:pPr>
      <w:r>
        <w:rPr>
          <w:rFonts w:ascii="Times New Roman" w:eastAsia="Times New Roman" w:hAnsi="Times New Roman" w:cs="Times New Roman"/>
          <w:b/>
          <w:bCs/>
          <w:i/>
          <w:iCs/>
          <w:color w:val="000000" w:themeColor="text1"/>
        </w:rPr>
        <w:t>RQ2:</w:t>
      </w:r>
      <w:proofErr w:type="gramStart"/>
      <w:r>
        <w:rPr>
          <w:rFonts w:ascii="Times New Roman" w:eastAsia="Times New Roman" w:hAnsi="Times New Roman" w:cs="Times New Roman"/>
          <w:i/>
          <w:iCs/>
          <w:color w:val="000000" w:themeColor="text1"/>
        </w:rPr>
        <w:t>Is</w:t>
      </w:r>
      <w:proofErr w:type="gramEnd"/>
      <w:r>
        <w:rPr>
          <w:rFonts w:ascii="Times New Roman" w:eastAsia="Times New Roman" w:hAnsi="Times New Roman" w:cs="Times New Roman"/>
          <w:i/>
          <w:iCs/>
          <w:color w:val="000000" w:themeColor="text1"/>
        </w:rPr>
        <w:t xml:space="preserve"> substrate type a significant effect on team accuracy, and if so, does the specific substrate matter more than the network on which it is deployed? </w:t>
      </w:r>
    </w:p>
    <w:p w14:paraId="094C06A8" w14:textId="77777777" w:rsidR="009C4D05" w:rsidRDefault="009C4D05" w:rsidP="009C4D05">
      <w:pPr>
        <w:spacing w:after="0"/>
        <w:textAlignment w:val="baseline"/>
        <w:rPr>
          <w:rFonts w:ascii="Times New Roman" w:eastAsia="Times New Roman" w:hAnsi="Times New Roman" w:cs="Times New Roman"/>
          <w:color w:val="000000" w:themeColor="text1"/>
        </w:rPr>
      </w:pPr>
    </w:p>
    <w:p w14:paraId="44A82031" w14:textId="1CFBBE93"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We answer both empirically in §6.1: the tree axis is the closer analog to real mixed-competence teams, and the substrate axis (tree vs</w:t>
      </w:r>
      <w:r w:rsidR="000D3FC9">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Markov) is a very large effect (Cohen’s d = 1.38, p &lt; 0.0001 pooled across networks) — larger than any effect of network, which is statistically null.</w:t>
      </w:r>
      <w:r>
        <w:rPr>
          <w:rFonts w:ascii="Times New Roman" w:eastAsia="Times New Roman" w:hAnsi="Times New Roman" w:cs="Times New Roman"/>
          <w:color w:val="000000" w:themeColor="text1"/>
          <w:bdr w:val="none" w:sz="0" w:space="0" w:color="auto" w:frame="1"/>
          <w:shd w:val="clear" w:color="auto" w:fill="C6C6C6"/>
        </w:rPr>
        <w:t> </w:t>
      </w:r>
    </w:p>
    <w:p w14:paraId="00E7C462" w14:textId="7E19C09D" w:rsidR="009C4D05" w:rsidRP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t>The rest of the paper is organized as follows. Section 2 reviews the EMBM framework and the small prior literature on substrate heterogeneity in recursive-belief multi-agent systems. Section 3 formalizes the extended model. Section 4 describes the experimental design and instrumentation. Section 5 reports the </w:t>
      </w:r>
      <w:r w:rsidR="000D3FC9">
        <w:rPr>
          <w:rFonts w:ascii="Times New Roman" w:eastAsia="Times New Roman" w:hAnsi="Times New Roman" w:cs="Times New Roman"/>
          <w:color w:val="000000" w:themeColor="text1"/>
        </w:rPr>
        <w:t>results</w:t>
      </w:r>
      <w:r>
        <w:rPr>
          <w:rFonts w:ascii="Times New Roman" w:eastAsia="Times New Roman" w:hAnsi="Times New Roman" w:cs="Times New Roman"/>
          <w:color w:val="000000" w:themeColor="text1"/>
        </w:rPr>
        <w:t> organized around the two forces. Section 6 discusses implications and boundary conditions.</w:t>
      </w:r>
      <w:r>
        <w:rPr>
          <w:rFonts w:ascii="Times New Roman" w:eastAsia="Times New Roman" w:hAnsi="Times New Roman" w:cs="Times New Roman"/>
          <w:color w:val="000000" w:themeColor="text1"/>
          <w:bdr w:val="none" w:sz="0" w:space="0" w:color="auto" w:frame="1"/>
          <w:shd w:val="clear" w:color="auto" w:fill="C6C6C6"/>
        </w:rPr>
        <w:t> </w:t>
      </w:r>
    </w:p>
    <w:p w14:paraId="56658924"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p>
    <w:p w14:paraId="104B03FF" w14:textId="77777777" w:rsidR="009C4D05" w:rsidRDefault="009C4D05" w:rsidP="009C4D05">
      <w:pPr>
        <w:spacing w:after="0"/>
        <w:textAlignment w:val="baseline"/>
        <w:rPr>
          <w:rFonts w:ascii="Times New Roman" w:eastAsia="Times New Roman" w:hAnsi="Times New Roman" w:cs="Times New Roman"/>
          <w:b/>
          <w:bCs/>
          <w:color w:val="000000" w:themeColor="text1"/>
          <w:bdr w:val="none" w:sz="0" w:space="0" w:color="auto" w:frame="1"/>
          <w:shd w:val="clear" w:color="auto" w:fill="C6C6C6"/>
        </w:rPr>
      </w:pPr>
      <w:r>
        <w:rPr>
          <w:rFonts w:ascii="Times New Roman" w:eastAsia="Times New Roman" w:hAnsi="Times New Roman" w:cs="Times New Roman"/>
          <w:b/>
          <w:bCs/>
          <w:color w:val="000000" w:themeColor="text1"/>
        </w:rPr>
        <w:t>2. Related work</w:t>
      </w:r>
      <w:r>
        <w:rPr>
          <w:rFonts w:ascii="Times New Roman" w:eastAsia="Times New Roman" w:hAnsi="Times New Roman" w:cs="Times New Roman"/>
          <w:b/>
          <w:bCs/>
          <w:color w:val="000000" w:themeColor="text1"/>
          <w:bdr w:val="none" w:sz="0" w:space="0" w:color="auto" w:frame="1"/>
          <w:shd w:val="clear" w:color="auto" w:fill="C6C6C6"/>
        </w:rPr>
        <w:t> </w:t>
      </w:r>
    </w:p>
    <w:p w14:paraId="28E50B61" w14:textId="77777777" w:rsidR="009C4D05" w:rsidRPr="009C4D05" w:rsidRDefault="009C4D05" w:rsidP="009C4D05">
      <w:pPr>
        <w:spacing w:after="0"/>
        <w:textAlignment w:val="baseline"/>
        <w:rPr>
          <w:rFonts w:ascii="Times New Roman" w:eastAsia="Times New Roman" w:hAnsi="Times New Roman" w:cs="Times New Roman"/>
          <w:b/>
          <w:bCs/>
          <w:color w:val="000000" w:themeColor="text1"/>
          <w:bdr w:val="none" w:sz="0" w:space="0" w:color="auto" w:frame="1"/>
          <w:shd w:val="clear" w:color="auto" w:fill="C6C6C6"/>
        </w:rPr>
      </w:pPr>
    </w:p>
    <w:p w14:paraId="75F2557D" w14:textId="77777777" w:rsidR="009C4D05" w:rsidRPr="009C4D05" w:rsidRDefault="009C4D05" w:rsidP="009C4D05">
      <w:pPr>
        <w:spacing w:after="0"/>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lastRenderedPageBreak/>
        <w:t>2.1 Team cognition and mutual belief</w:t>
      </w:r>
      <w:r>
        <w:rPr>
          <w:rFonts w:ascii="Times New Roman" w:eastAsia="Times New Roman" w:hAnsi="Times New Roman" w:cs="Times New Roman"/>
          <w:b/>
          <w:bCs/>
          <w:color w:val="000000" w:themeColor="text1"/>
          <w:bdr w:val="none" w:sz="0" w:space="0" w:color="auto" w:frame="1"/>
          <w:shd w:val="clear" w:color="auto" w:fill="C6C6C6"/>
        </w:rPr>
        <w:t> </w:t>
      </w:r>
    </w:p>
    <w:p w14:paraId="6CC680A9" w14:textId="77777777" w:rsidR="009C4D05" w:rsidRDefault="009C4D05" w:rsidP="009C4D05">
      <w:pPr>
        <w:spacing w:after="0"/>
        <w:textAlignment w:val="baseline"/>
        <w:rPr>
          <w:rFonts w:ascii="Times New Roman" w:eastAsia="Times New Roman" w:hAnsi="Times New Roman" w:cs="Times New Roman"/>
          <w:color w:val="000000" w:themeColor="text1"/>
        </w:rPr>
      </w:pPr>
    </w:p>
    <w:p w14:paraId="1642D519" w14:textId="65BAE44B"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The study of team cognition — how a group of agents collectively perceives, reasons about, and coordinates on a shared task — has a long empirical and theoretical history in human factors and cognitive ergonomics (Salas et al.</w:t>
      </w:r>
      <w:r w:rsidR="00DA3A84">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2008; Salas et al.</w:t>
      </w:r>
      <w:r w:rsidR="00DA3A84">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2011; Cooke et al. 2013; McNeese et al.</w:t>
      </w:r>
      <w:r w:rsidR="00256DB5">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2020). Two broad computational traditions coexist. Holistic models, exemplified by Hutchins’s (1995) distributed cognition and Cooke et al.’s (2013) interactive team cognition, treat a team as a single system whose cognitive properties emerge from the interactions among its members, rather than decomposing it into individual belief structures. Collective models, in contrast, build team cognition compositionally from the beliefs of each individual member and the beliefs each holds about the others (Kanno et al. 2013).</w:t>
      </w:r>
      <w:r>
        <w:rPr>
          <w:rFonts w:ascii="Times New Roman" w:eastAsia="Times New Roman" w:hAnsi="Times New Roman" w:cs="Times New Roman"/>
          <w:color w:val="000000" w:themeColor="text1"/>
          <w:bdr w:val="none" w:sz="0" w:space="0" w:color="auto" w:frame="1"/>
          <w:shd w:val="clear" w:color="auto" w:fill="C6C6C6"/>
        </w:rPr>
        <w:t> </w:t>
      </w:r>
    </w:p>
    <w:p w14:paraId="1CF5E3BF" w14:textId="2071A661"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t>Collective models trace back to formal accounts of mutual belief — the condition under which agents believe they are sharing a belief with their teammates, which is thought to be necessary for coordinated collective action (Tuomela &amp; Miller</w:t>
      </w:r>
      <w:r w:rsidR="00256DB5">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1988). Kanno et al. (2013) formalized this for dyadic teams as a three-layer structure: an agent’s self-cognition (M), the agent’s direct belief about its partner’s cognition (M’), and the agent’s projected belief about how its partner in turn models the agent’s own cognition (</w:t>
      </w:r>
      <w:proofErr w:type="gramStart"/>
      <w:r>
        <w:rPr>
          <w:rFonts w:ascii="Times New Roman" w:eastAsia="Times New Roman" w:hAnsi="Times New Roman" w:cs="Times New Roman"/>
          <w:color w:val="000000" w:themeColor="text1"/>
        </w:rPr>
        <w:t>M’’</w:t>
      </w:r>
      <w:proofErr w:type="gramEnd"/>
      <w:r>
        <w:rPr>
          <w:rFonts w:ascii="Times New Roman" w:eastAsia="Times New Roman" w:hAnsi="Times New Roman" w:cs="Times New Roman"/>
          <w:color w:val="000000" w:themeColor="text1"/>
        </w:rPr>
        <w:t xml:space="preserve">). The recursive-and-reflexive character of this structure — beliefs about beliefs about beliefs — is what distinguishes mutual-belief models from simpler shared-mental-model accounts (Cooke et al. 2000; Mohammed et al. 2015). </w:t>
      </w:r>
      <w:proofErr w:type="spellStart"/>
      <w:r>
        <w:rPr>
          <w:rFonts w:ascii="Times New Roman" w:eastAsia="Times New Roman" w:hAnsi="Times New Roman" w:cs="Times New Roman"/>
          <w:color w:val="000000" w:themeColor="text1"/>
        </w:rPr>
        <w:t>Nonose</w:t>
      </w:r>
      <w:proofErr w:type="spellEnd"/>
      <w:r>
        <w:rPr>
          <w:rFonts w:ascii="Times New Roman" w:eastAsia="Times New Roman" w:hAnsi="Times New Roman" w:cs="Times New Roman"/>
          <w:color w:val="000000" w:themeColor="text1"/>
        </w:rPr>
        <w:t xml:space="preserve"> et al.</w:t>
      </w:r>
      <w:r w:rsidR="00EF4963">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(2010) applied this framework to develop an evaluation method for team situation awareness, and subsequent work (</w:t>
      </w:r>
      <w:proofErr w:type="spellStart"/>
      <w:r>
        <w:rPr>
          <w:rFonts w:ascii="Times New Roman" w:eastAsia="Times New Roman" w:hAnsi="Times New Roman" w:cs="Times New Roman"/>
          <w:color w:val="000000" w:themeColor="text1"/>
        </w:rPr>
        <w:t>Nonose</w:t>
      </w:r>
      <w:proofErr w:type="spellEnd"/>
      <w:r>
        <w:rPr>
          <w:rFonts w:ascii="Times New Roman" w:eastAsia="Times New Roman" w:hAnsi="Times New Roman" w:cs="Times New Roman"/>
          <w:color w:val="000000" w:themeColor="text1"/>
        </w:rPr>
        <w:t xml:space="preserve"> et al. 2014) explored metacognitive effects on team behavior.</w:t>
      </w:r>
      <w:r>
        <w:rPr>
          <w:rFonts w:ascii="Times New Roman" w:eastAsia="Times New Roman" w:hAnsi="Times New Roman" w:cs="Times New Roman"/>
          <w:color w:val="000000" w:themeColor="text1"/>
          <w:bdr w:val="none" w:sz="0" w:space="0" w:color="auto" w:frame="1"/>
          <w:shd w:val="clear" w:color="auto" w:fill="C6C6C6"/>
        </w:rPr>
        <w:t> </w:t>
      </w:r>
    </w:p>
    <w:p w14:paraId="202ECAB0"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p>
    <w:p w14:paraId="3E229389" w14:textId="77777777" w:rsidR="009C4D05" w:rsidRPr="009C4D05" w:rsidRDefault="009C4D05" w:rsidP="009C4D05">
      <w:pPr>
        <w:spacing w:after="0"/>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2.2 The Extended Mutual Belief Model</w:t>
      </w:r>
      <w:r>
        <w:rPr>
          <w:rFonts w:ascii="Times New Roman" w:eastAsia="Times New Roman" w:hAnsi="Times New Roman" w:cs="Times New Roman"/>
          <w:b/>
          <w:bCs/>
          <w:color w:val="000000" w:themeColor="text1"/>
          <w:bdr w:val="none" w:sz="0" w:space="0" w:color="auto" w:frame="1"/>
          <w:shd w:val="clear" w:color="auto" w:fill="C6C6C6"/>
        </w:rPr>
        <w:t> </w:t>
      </w:r>
    </w:p>
    <w:p w14:paraId="4F82C131" w14:textId="77777777" w:rsidR="009C4D05" w:rsidRDefault="009C4D05" w:rsidP="009C4D05">
      <w:pPr>
        <w:spacing w:after="0"/>
        <w:textAlignment w:val="baseline"/>
        <w:rPr>
          <w:rFonts w:ascii="Times New Roman" w:eastAsia="Times New Roman" w:hAnsi="Times New Roman" w:cs="Times New Roman"/>
          <w:color w:val="000000" w:themeColor="text1"/>
        </w:rPr>
      </w:pPr>
    </w:p>
    <w:p w14:paraId="663A4725"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proofErr w:type="spellStart"/>
      <w:r>
        <w:rPr>
          <w:rFonts w:ascii="Times New Roman" w:eastAsia="Times New Roman" w:hAnsi="Times New Roman" w:cs="Times New Roman"/>
          <w:color w:val="000000" w:themeColor="text1"/>
        </w:rPr>
        <w:t>Mahardhika</w:t>
      </w:r>
      <w:proofErr w:type="spellEnd"/>
      <w:r>
        <w:rPr>
          <w:rFonts w:ascii="Times New Roman" w:eastAsia="Times New Roman" w:hAnsi="Times New Roman" w:cs="Times New Roman"/>
          <w:color w:val="000000" w:themeColor="text1"/>
        </w:rPr>
        <w:t xml:space="preserve"> et al. (2016) extended the dyadic mutual-belief formulation to three-or-more-person teams and introduced mental subgrouping — the observation that, in larger teams, members typically do not model each teammate individually but instead chunk them into subgroups. Their formulation — henceforth EMBM — retains the three-layer structure per agent but expands each layer to hold multiple belief divisions corresponding to the number of teammates or subgroups. In a three-person team without subgrouping, each agent maintains seven belief structures: one self-cognition, two direct beliefs (one per teammate), and four projected beliefs (each teammate’s belief about each of the other two agents).</w:t>
      </w:r>
      <w:r>
        <w:rPr>
          <w:rFonts w:ascii="Times New Roman" w:eastAsia="Times New Roman" w:hAnsi="Times New Roman" w:cs="Times New Roman"/>
          <w:color w:val="000000" w:themeColor="text1"/>
          <w:bdr w:val="none" w:sz="0" w:space="0" w:color="auto" w:frame="1"/>
          <w:shd w:val="clear" w:color="auto" w:fill="C6C6C6"/>
        </w:rPr>
        <w:t> </w:t>
      </w:r>
    </w:p>
    <w:p w14:paraId="64C8482E" w14:textId="1F979984"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t xml:space="preserve">The direct implementation of EMBM as an agent-based simulation was undertaken by Okabe et al. (2025), who instantiated each of the seven belief structures per agent as a Bayesian belief network over a car-fault-diagnosis domain, defined an operational conflict-detection scheme (their Types I, II, and III) whose resolution drives an action-generation loop, and reported team-accuracy curves across scenarios varying in diagnostic difficulty and across model variations that ablated the mutual-belief layers. Their study established that the presence of mutual beliefs (M’ and </w:t>
      </w:r>
      <w:proofErr w:type="gramStart"/>
      <w:r>
        <w:rPr>
          <w:rFonts w:ascii="Times New Roman" w:eastAsia="Times New Roman" w:hAnsi="Times New Roman" w:cs="Times New Roman"/>
          <w:color w:val="000000" w:themeColor="text1"/>
        </w:rPr>
        <w:t>M’’</w:t>
      </w:r>
      <w:proofErr w:type="gramEnd"/>
      <w:r>
        <w:rPr>
          <w:rFonts w:ascii="Times New Roman" w:eastAsia="Times New Roman" w:hAnsi="Times New Roman" w:cs="Times New Roman"/>
          <w:color w:val="000000" w:themeColor="text1"/>
        </w:rPr>
        <w:t xml:space="preserve">) generally improves team situational awareness relative to unaware baselines, while also identifying cases where mutual beliefs can produce a small negative effect through communication biased by an incorrect prior belief about what teammates already know. In their limitations section, Okabe et al. (2025) explicitly note: “It is recommended that this study be replicated with models other than BBN, such as the Markov model and decision tree, for cross-validation.” The present study answers that call, while extending it: rather than replicating with alternative substrates homogeneously, we ask what happens when substrates </w:t>
      </w:r>
      <w:r>
        <w:rPr>
          <w:rFonts w:ascii="Times New Roman" w:eastAsia="Times New Roman" w:hAnsi="Times New Roman" w:cs="Times New Roman"/>
          <w:color w:val="000000" w:themeColor="text1"/>
        </w:rPr>
        <w:lastRenderedPageBreak/>
        <w:t>are heterogeneous across the team, and when the projection layer must itself commit to a substrate for its teammate model.</w:t>
      </w:r>
      <w:r>
        <w:rPr>
          <w:rFonts w:ascii="Times New Roman" w:eastAsia="Times New Roman" w:hAnsi="Times New Roman" w:cs="Times New Roman"/>
          <w:color w:val="000000" w:themeColor="text1"/>
          <w:bdr w:val="none" w:sz="0" w:space="0" w:color="auto" w:frame="1"/>
          <w:shd w:val="clear" w:color="auto" w:fill="C6C6C6"/>
        </w:rPr>
        <w:t> </w:t>
      </w:r>
    </w:p>
    <w:p w14:paraId="72860292"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p>
    <w:p w14:paraId="1A1D9087" w14:textId="77777777" w:rsidR="009C4D05" w:rsidRDefault="009C4D05" w:rsidP="009C4D05">
      <w:pPr>
        <w:spacing w:after="0"/>
        <w:textAlignment w:val="baseline"/>
        <w:rPr>
          <w:rFonts w:ascii="Times New Roman" w:eastAsia="Times New Roman" w:hAnsi="Times New Roman" w:cs="Times New Roman"/>
          <w:b/>
          <w:bCs/>
          <w:color w:val="000000" w:themeColor="text1"/>
          <w:bdr w:val="none" w:sz="0" w:space="0" w:color="auto" w:frame="1"/>
          <w:shd w:val="clear" w:color="auto" w:fill="C6C6C6"/>
        </w:rPr>
      </w:pPr>
      <w:r>
        <w:rPr>
          <w:rFonts w:ascii="Times New Roman" w:eastAsia="Times New Roman" w:hAnsi="Times New Roman" w:cs="Times New Roman"/>
          <w:b/>
          <w:bCs/>
          <w:color w:val="000000" w:themeColor="text1"/>
        </w:rPr>
        <w:t>2.3 Situation awareness, metacognition, and computational cognition</w:t>
      </w:r>
      <w:r>
        <w:rPr>
          <w:rFonts w:ascii="Times New Roman" w:eastAsia="Times New Roman" w:hAnsi="Times New Roman" w:cs="Times New Roman"/>
          <w:b/>
          <w:bCs/>
          <w:color w:val="000000" w:themeColor="text1"/>
          <w:bdr w:val="none" w:sz="0" w:space="0" w:color="auto" w:frame="1"/>
          <w:shd w:val="clear" w:color="auto" w:fill="C6C6C6"/>
        </w:rPr>
        <w:t> </w:t>
      </w:r>
    </w:p>
    <w:p w14:paraId="7B3E5DB0" w14:textId="77777777" w:rsidR="009C4D05" w:rsidRPr="009C4D05" w:rsidRDefault="009C4D05" w:rsidP="009C4D05">
      <w:pPr>
        <w:spacing w:after="0"/>
        <w:textAlignment w:val="baseline"/>
        <w:rPr>
          <w:rFonts w:ascii="Times New Roman" w:eastAsia="Times New Roman" w:hAnsi="Times New Roman" w:cs="Times New Roman"/>
          <w:b/>
          <w:bCs/>
          <w:color w:val="000000" w:themeColor="text1"/>
        </w:rPr>
      </w:pPr>
    </w:p>
    <w:p w14:paraId="229D1031" w14:textId="5DA579DE"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Team situation awareness (TSA) is typically defined as a common understanding of the situation among team members (She and Li</w:t>
      </w:r>
      <w:r w:rsidR="00EF4963">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2017; Rousseau et al. 2004) and is considered a critical prerequisite for effective team coordination (</w:t>
      </w:r>
      <w:proofErr w:type="spellStart"/>
      <w:r>
        <w:rPr>
          <w:rFonts w:ascii="Times New Roman" w:eastAsia="Times New Roman" w:hAnsi="Times New Roman" w:cs="Times New Roman"/>
          <w:color w:val="000000" w:themeColor="text1"/>
        </w:rPr>
        <w:t>Dourish</w:t>
      </w:r>
      <w:proofErr w:type="spellEnd"/>
      <w:r>
        <w:rPr>
          <w:rFonts w:ascii="Times New Roman" w:eastAsia="Times New Roman" w:hAnsi="Times New Roman" w:cs="Times New Roman"/>
          <w:color w:val="000000" w:themeColor="text1"/>
        </w:rPr>
        <w:t xml:space="preserve"> &amp; Bellotti 1992; </w:t>
      </w:r>
      <w:proofErr w:type="spellStart"/>
      <w:r>
        <w:rPr>
          <w:rFonts w:ascii="Times New Roman" w:eastAsia="Times New Roman" w:hAnsi="Times New Roman" w:cs="Times New Roman"/>
          <w:color w:val="000000" w:themeColor="text1"/>
        </w:rPr>
        <w:t>Gutwin</w:t>
      </w:r>
      <w:proofErr w:type="spellEnd"/>
      <w:r>
        <w:rPr>
          <w:rFonts w:ascii="Times New Roman" w:eastAsia="Times New Roman" w:hAnsi="Times New Roman" w:cs="Times New Roman"/>
          <w:color w:val="000000" w:themeColor="text1"/>
        </w:rPr>
        <w:t xml:space="preserve"> &amp; Greenberg 2004). Different definitions emphasize either the actual overlap in individual situation awarenesses (an outside-observer view) or the believed overlap held by each member (an inside-team view); the mutual-belief architectures we build on are naturally suited to the second, because they distinguish between what is true of the world and what each agent believes about what each other agent knows (Kanno et al. 2013).</w:t>
      </w:r>
      <w:r>
        <w:rPr>
          <w:rFonts w:ascii="Times New Roman" w:eastAsia="Times New Roman" w:hAnsi="Times New Roman" w:cs="Times New Roman"/>
          <w:color w:val="000000" w:themeColor="text1"/>
          <w:bdr w:val="none" w:sz="0" w:space="0" w:color="auto" w:frame="1"/>
          <w:shd w:val="clear" w:color="auto" w:fill="C6C6C6"/>
        </w:rPr>
        <w:t> </w:t>
      </w:r>
    </w:p>
    <w:p w14:paraId="7E82E6F6" w14:textId="4A592D32"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t>The action-selection mechanism in EMBM is grounded in metacognition — cognition about one’s own cognition (Flavell 1979; Nelson &amp; Narens 1994). In particular, EMBM implements metacognitive control as conflict detection and resolution across belief layers: when an agent detects that its own belief about a node differs from its belief about a teammate’s belief about that node (Type I), or from its projected belief about the teammate’s belief about itself (Type II) or about the third teammate (Type III), that conflict triggers a communication or observation action. This connects EMBM to a broader tradition of computational cognitive architectures (Anderson &amp;</w:t>
      </w:r>
      <w:r w:rsidR="000D3FC9">
        <w:rPr>
          <w:rFonts w:ascii="Times New Roman" w:eastAsia="Times New Roman" w:hAnsi="Times New Roman" w:cs="Times New Roman"/>
          <w:color w:val="000000" w:themeColor="text1"/>
        </w:rPr>
        <w:t xml:space="preserve"> </w:t>
      </w:r>
      <w:proofErr w:type="spellStart"/>
      <w:r>
        <w:rPr>
          <w:rFonts w:ascii="Times New Roman" w:eastAsia="Times New Roman" w:hAnsi="Times New Roman" w:cs="Times New Roman"/>
          <w:color w:val="000000" w:themeColor="text1"/>
        </w:rPr>
        <w:t>Lebiere</w:t>
      </w:r>
      <w:proofErr w:type="spellEnd"/>
      <w:r>
        <w:rPr>
          <w:rFonts w:ascii="Times New Roman" w:eastAsia="Times New Roman" w:hAnsi="Times New Roman" w:cs="Times New Roman"/>
          <w:color w:val="000000" w:themeColor="text1"/>
        </w:rPr>
        <w:t xml:space="preserve"> 1998; Newell</w:t>
      </w:r>
      <w:r w:rsidR="00393B93">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1990) while addressing a limitation those architectures share — they were designed for individual cognition, not for the recursive belief structures that team cognition requires (Okabe et al. 2025).</w:t>
      </w:r>
      <w:r>
        <w:rPr>
          <w:rFonts w:ascii="Times New Roman" w:eastAsia="Times New Roman" w:hAnsi="Times New Roman" w:cs="Times New Roman"/>
          <w:color w:val="000000" w:themeColor="text1"/>
          <w:bdr w:val="none" w:sz="0" w:space="0" w:color="auto" w:frame="1"/>
          <w:shd w:val="clear" w:color="auto" w:fill="C6C6C6"/>
        </w:rPr>
        <w:t> </w:t>
      </w:r>
    </w:p>
    <w:p w14:paraId="7EE37049"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p>
    <w:p w14:paraId="7657A9B6" w14:textId="77777777" w:rsidR="009C4D05" w:rsidRPr="009C4D05" w:rsidRDefault="009C4D05" w:rsidP="009C4D05">
      <w:pPr>
        <w:spacing w:after="0"/>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2.4 The substrate homogeneity assumption</w:t>
      </w:r>
      <w:r>
        <w:rPr>
          <w:rFonts w:ascii="Times New Roman" w:eastAsia="Times New Roman" w:hAnsi="Times New Roman" w:cs="Times New Roman"/>
          <w:b/>
          <w:bCs/>
          <w:color w:val="000000" w:themeColor="text1"/>
          <w:bdr w:val="none" w:sz="0" w:space="0" w:color="auto" w:frame="1"/>
          <w:shd w:val="clear" w:color="auto" w:fill="C6C6C6"/>
        </w:rPr>
        <w:t> </w:t>
      </w:r>
    </w:p>
    <w:p w14:paraId="1C169B70" w14:textId="77777777" w:rsidR="009C4D05" w:rsidRDefault="009C4D05" w:rsidP="009C4D05">
      <w:pPr>
        <w:spacing w:after="0"/>
        <w:textAlignment w:val="baseline"/>
        <w:rPr>
          <w:rFonts w:ascii="Times New Roman" w:eastAsia="Times New Roman" w:hAnsi="Times New Roman" w:cs="Times New Roman"/>
          <w:color w:val="000000" w:themeColor="text1"/>
        </w:rPr>
      </w:pPr>
    </w:p>
    <w:p w14:paraId="2A55D5F4" w14:textId="72D5E2F6"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Across the EMBM literature and the broader recursive-mutual-belief tradition, the belief structures within and across agents are almost universally assumed to run on the same inference substrate. In Okabe et al. (2025), all seven belief structures per agent, across all three agents, are BBNs with identical structure and CPTs; the manipulations tested vary which layers are present (ablations that remove M’ or </w:t>
      </w:r>
      <w:proofErr w:type="gramStart"/>
      <w:r>
        <w:rPr>
          <w:rFonts w:ascii="Times New Roman" w:eastAsia="Times New Roman" w:hAnsi="Times New Roman" w:cs="Times New Roman"/>
          <w:color w:val="000000" w:themeColor="text1"/>
        </w:rPr>
        <w:t>M’’</w:t>
      </w:r>
      <w:proofErr w:type="gramEnd"/>
      <w:r>
        <w:rPr>
          <w:rFonts w:ascii="Times New Roman" w:eastAsia="Times New Roman" w:hAnsi="Times New Roman" w:cs="Times New Roman"/>
          <w:color w:val="000000" w:themeColor="text1"/>
        </w:rPr>
        <w:t>), not which computational machinery those layers use. The homogeneity assumption is analytically convenient — it lets projection be the straightforward act of running the same machinery under different priors — but it is empirically strong. Andrews et al.’s (2023) theoretical review of shared mental models in human-AI teams treats the transfer of the shared-mental-model construct from all-human teams to human-AI teams as an open question rather than a settled equivalence. Real cooperative diagnosis teams, particularly the increasingly common human-AI teams in which one member is an algorithm, and the others are human, do not share a substrate. A radiologist and a triage algorithm do not compute posteriors in the same way; a pilot and a flight-management system do not represent uncertainty on the same scale; a domain expert and a large language model do not perform inference through the same operations, even when they are given the same evidence.</w:t>
      </w:r>
      <w:r>
        <w:rPr>
          <w:rFonts w:ascii="Times New Roman" w:eastAsia="Times New Roman" w:hAnsi="Times New Roman" w:cs="Times New Roman"/>
          <w:color w:val="000000" w:themeColor="text1"/>
          <w:bdr w:val="none" w:sz="0" w:space="0" w:color="auto" w:frame="1"/>
          <w:shd w:val="clear" w:color="auto" w:fill="C6C6C6"/>
        </w:rPr>
        <w:t> </w:t>
      </w:r>
    </w:p>
    <w:p w14:paraId="39FDC94F" w14:textId="32085D01"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t>Broader multi-agent simulation traditions have considered forms of parametric or belief-content heterogeneity (</w:t>
      </w:r>
      <w:proofErr w:type="spellStart"/>
      <w:r>
        <w:rPr>
          <w:rFonts w:ascii="Times New Roman" w:eastAsia="Times New Roman" w:hAnsi="Times New Roman" w:cs="Times New Roman"/>
          <w:color w:val="000000" w:themeColor="text1"/>
        </w:rPr>
        <w:t>Crosscombe</w:t>
      </w:r>
      <w:proofErr w:type="spellEnd"/>
      <w:r>
        <w:rPr>
          <w:rFonts w:ascii="Times New Roman" w:eastAsia="Times New Roman" w:hAnsi="Times New Roman" w:cs="Times New Roman"/>
          <w:color w:val="000000" w:themeColor="text1"/>
        </w:rPr>
        <w:t xml:space="preserve"> &amp; Lawry 2016; Li &amp; Xiao 2017), and agent-based models of team behavior have varied group size, communication protocols, and coordination structures (Cao et al. 2022; Glinton et al. 2010). But substrate variation — where different agents literally compute inference through different mechanisms while representing the same domain, and where </w:t>
      </w:r>
      <w:r>
        <w:rPr>
          <w:rFonts w:ascii="Times New Roman" w:eastAsia="Times New Roman" w:hAnsi="Times New Roman" w:cs="Times New Roman"/>
          <w:color w:val="000000" w:themeColor="text1"/>
        </w:rPr>
        <w:lastRenderedPageBreak/>
        <w:t>the projection layer must itself commit to a substrate for its teammate model — has not, to the authors’ knowledge, been embedded in a recursive-mutual-belief architecture. Discussions of substrate diversity have appeared in the human-AI teaming and human-machine cooperation literatures (</w:t>
      </w:r>
      <w:proofErr w:type="spellStart"/>
      <w:r>
        <w:rPr>
          <w:rFonts w:ascii="Times New Roman" w:eastAsia="Times New Roman" w:hAnsi="Times New Roman" w:cs="Times New Roman"/>
          <w:color w:val="000000" w:themeColor="text1"/>
        </w:rPr>
        <w:t>Flemisch</w:t>
      </w:r>
      <w:proofErr w:type="spellEnd"/>
      <w:r>
        <w:rPr>
          <w:rFonts w:ascii="Times New Roman" w:eastAsia="Times New Roman" w:hAnsi="Times New Roman" w:cs="Times New Roman"/>
          <w:color w:val="000000" w:themeColor="text1"/>
        </w:rPr>
        <w:t xml:space="preserve"> et al. 2019; Wright et al. 2015), and recent empirical work has shown that humans perform and cognize measurably differently when they perceive a teammate as artificial rather than human (Schelble et al. 2023) — a first-order behavioral analog of what we operationalize computationally as naive projection. What is missing from that empirical work is a formal recursive-belief structure to attach the projection-mode question to.</w:t>
      </w:r>
      <w:r>
        <w:rPr>
          <w:rFonts w:ascii="Times New Roman" w:eastAsia="Times New Roman" w:hAnsi="Times New Roman" w:cs="Times New Roman"/>
          <w:color w:val="000000" w:themeColor="text1"/>
          <w:bdr w:val="none" w:sz="0" w:space="0" w:color="auto" w:frame="1"/>
          <w:shd w:val="clear" w:color="auto" w:fill="C6C6C6"/>
        </w:rPr>
        <w:t> </w:t>
      </w:r>
    </w:p>
    <w:p w14:paraId="5820A31B"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p>
    <w:p w14:paraId="771E209E" w14:textId="77777777" w:rsidR="009C4D05" w:rsidRPr="009C4D05" w:rsidRDefault="009C4D05" w:rsidP="009C4D05">
      <w:pPr>
        <w:spacing w:after="0"/>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2.5 The projection question</w:t>
      </w:r>
      <w:r>
        <w:rPr>
          <w:rFonts w:ascii="Times New Roman" w:eastAsia="Times New Roman" w:hAnsi="Times New Roman" w:cs="Times New Roman"/>
          <w:b/>
          <w:bCs/>
          <w:color w:val="000000" w:themeColor="text1"/>
          <w:bdr w:val="none" w:sz="0" w:space="0" w:color="auto" w:frame="1"/>
          <w:shd w:val="clear" w:color="auto" w:fill="C6C6C6"/>
        </w:rPr>
        <w:t> </w:t>
      </w:r>
    </w:p>
    <w:p w14:paraId="59D6371F" w14:textId="77777777" w:rsidR="009C4D05" w:rsidRDefault="009C4D05" w:rsidP="009C4D05">
      <w:pPr>
        <w:spacing w:after="0"/>
        <w:textAlignment w:val="baseline"/>
        <w:rPr>
          <w:rFonts w:ascii="Times New Roman" w:eastAsia="Times New Roman" w:hAnsi="Times New Roman" w:cs="Times New Roman"/>
          <w:color w:val="000000" w:themeColor="text1"/>
        </w:rPr>
      </w:pPr>
    </w:p>
    <w:p w14:paraId="0A0D857E" w14:textId="05E4B367"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t>We identify a specific operational concern that arises once substrates are heterogeneous, which we call the projection question. When agent A (running substrate X) needs to hold a belief about teammate B (running substrate Y), A must instantiate a projected-belief engine to hold that belief. If A instantiates the projected engine as substrate X — an X-flavored representation of what B thinks — we call that naive projection. If A instantiates the projected engine as substrate Y — a Y-flavored representation of what B thinks — we call that aware projection. Naive projection is not merely a cognitive laziness; it is a specific representational commitment. It amounts to modeling one’s heterogeneous teammate as computationally identical to oneself. This commitment is empirically consequential rather than merely theoretical: recent work in the theory-of-mind-in-LLMs literature has shown that some AI systems now pass classic false-belief tasks and exhibit internal belief-tracking mechanisms of their own (Kosinski 2024)</w:t>
      </w:r>
      <w:r w:rsidR="00B53439">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 xml:space="preserve"> </w:t>
      </w:r>
      <w:r w:rsidR="00B53439">
        <w:rPr>
          <w:rFonts w:ascii="Times New Roman" w:eastAsia="Times New Roman" w:hAnsi="Times New Roman" w:cs="Times New Roman"/>
          <w:color w:val="000000" w:themeColor="text1"/>
        </w:rPr>
        <w:t>So,</w:t>
      </w:r>
      <w:r>
        <w:rPr>
          <w:rFonts w:ascii="Times New Roman" w:eastAsia="Times New Roman" w:hAnsi="Times New Roman" w:cs="Times New Roman"/>
          <w:color w:val="000000" w:themeColor="text1"/>
        </w:rPr>
        <w:t xml:space="preserve"> treating a machine teammate as substrate-identical to oneself is no longer just a simplifying assumption — it is a specific misspecification of what the teammate </w:t>
      </w:r>
      <w:proofErr w:type="gramStart"/>
      <w:r>
        <w:rPr>
          <w:rFonts w:ascii="Times New Roman" w:eastAsia="Times New Roman" w:hAnsi="Times New Roman" w:cs="Times New Roman"/>
          <w:color w:val="000000" w:themeColor="text1"/>
        </w:rPr>
        <w:t>actually computes</w:t>
      </w:r>
      <w:proofErr w:type="gramEnd"/>
      <w:r>
        <w:rPr>
          <w:rFonts w:ascii="Times New Roman" w:eastAsia="Times New Roman" w:hAnsi="Times New Roman" w:cs="Times New Roman"/>
          <w:color w:val="000000" w:themeColor="text1"/>
        </w:rPr>
        <w:t>. Its downstream consequences are computable and, as we show, non-trivial.</w:t>
      </w:r>
      <w:r>
        <w:rPr>
          <w:rFonts w:ascii="Times New Roman" w:eastAsia="Times New Roman" w:hAnsi="Times New Roman" w:cs="Times New Roman"/>
          <w:color w:val="000000" w:themeColor="text1"/>
          <w:bdr w:val="none" w:sz="0" w:space="0" w:color="auto" w:frame="1"/>
          <w:shd w:val="clear" w:color="auto" w:fill="C6C6C6"/>
        </w:rPr>
        <w:t> </w:t>
      </w:r>
    </w:p>
    <w:p w14:paraId="43C6F576"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p>
    <w:p w14:paraId="42C37CAB" w14:textId="77777777" w:rsidR="009C4D05" w:rsidRDefault="009C4D05" w:rsidP="009C4D05">
      <w:pPr>
        <w:spacing w:after="0"/>
        <w:textAlignment w:val="baseline"/>
        <w:rPr>
          <w:rFonts w:ascii="Times New Roman" w:eastAsia="Times New Roman" w:hAnsi="Times New Roman" w:cs="Times New Roman"/>
          <w:b/>
          <w:bCs/>
          <w:color w:val="000000" w:themeColor="text1"/>
          <w:bdr w:val="none" w:sz="0" w:space="0" w:color="auto" w:frame="1"/>
          <w:shd w:val="clear" w:color="auto" w:fill="C6C6C6"/>
        </w:rPr>
      </w:pPr>
      <w:r>
        <w:rPr>
          <w:rFonts w:ascii="Times New Roman" w:eastAsia="Times New Roman" w:hAnsi="Times New Roman" w:cs="Times New Roman"/>
          <w:b/>
          <w:bCs/>
          <w:color w:val="000000" w:themeColor="text1"/>
        </w:rPr>
        <w:t>3. Model description (ODD protocol)</w:t>
      </w:r>
      <w:r>
        <w:rPr>
          <w:rFonts w:ascii="Times New Roman" w:eastAsia="Times New Roman" w:hAnsi="Times New Roman" w:cs="Times New Roman"/>
          <w:b/>
          <w:bCs/>
          <w:color w:val="000000" w:themeColor="text1"/>
          <w:bdr w:val="none" w:sz="0" w:space="0" w:color="auto" w:frame="1"/>
          <w:shd w:val="clear" w:color="auto" w:fill="C6C6C6"/>
        </w:rPr>
        <w:t> </w:t>
      </w:r>
    </w:p>
    <w:p w14:paraId="60928CED" w14:textId="77777777" w:rsidR="009C4D05" w:rsidRPr="009C4D05" w:rsidRDefault="009C4D05" w:rsidP="009C4D05">
      <w:pPr>
        <w:spacing w:after="0"/>
        <w:textAlignment w:val="baseline"/>
        <w:rPr>
          <w:rFonts w:ascii="Times New Roman" w:eastAsia="Times New Roman" w:hAnsi="Times New Roman" w:cs="Times New Roman"/>
          <w:b/>
          <w:bCs/>
          <w:color w:val="000000" w:themeColor="text1"/>
        </w:rPr>
      </w:pPr>
    </w:p>
    <w:p w14:paraId="71355402" w14:textId="0111EE10"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t xml:space="preserve">We describe the model following the Overview, Design concepts, and Details (ODD) protocol of Grimm et al. (2006, 2020). The seven ODD sections below (Purpose and patterns; Entities, state variables, and scales; Process overview and scheduling; Design concepts; Initialization; Input data; </w:t>
      </w:r>
      <w:proofErr w:type="spellStart"/>
      <w:r>
        <w:rPr>
          <w:rFonts w:ascii="Times New Roman" w:eastAsia="Times New Roman" w:hAnsi="Times New Roman" w:cs="Times New Roman"/>
          <w:color w:val="000000" w:themeColor="text1"/>
        </w:rPr>
        <w:t>Submodels</w:t>
      </w:r>
      <w:proofErr w:type="spellEnd"/>
      <w:r>
        <w:rPr>
          <w:rFonts w:ascii="Times New Roman" w:eastAsia="Times New Roman" w:hAnsi="Times New Roman" w:cs="Times New Roman"/>
          <w:color w:val="000000" w:themeColor="text1"/>
        </w:rPr>
        <w:t>) cover the same content that a narrative model description would but in a form that facilitates comparison with other agent-based models in the recursive-mutual-belief and cooperative-diagnosis literatures.</w:t>
      </w:r>
      <w:r>
        <w:rPr>
          <w:rFonts w:ascii="Times New Roman" w:eastAsia="Times New Roman" w:hAnsi="Times New Roman" w:cs="Times New Roman"/>
          <w:color w:val="000000" w:themeColor="text1"/>
          <w:bdr w:val="none" w:sz="0" w:space="0" w:color="auto" w:frame="1"/>
          <w:shd w:val="clear" w:color="auto" w:fill="C6C6C6"/>
        </w:rPr>
        <w:t> </w:t>
      </w:r>
    </w:p>
    <w:p w14:paraId="25E4D0DB"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p>
    <w:p w14:paraId="562D2C69" w14:textId="77777777" w:rsidR="009C4D05" w:rsidRPr="009C4D05" w:rsidRDefault="009C4D05" w:rsidP="009C4D05">
      <w:pPr>
        <w:spacing w:after="0"/>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3.1 Purpose and patterns</w:t>
      </w:r>
      <w:r>
        <w:rPr>
          <w:rFonts w:ascii="Times New Roman" w:eastAsia="Times New Roman" w:hAnsi="Times New Roman" w:cs="Times New Roman"/>
          <w:b/>
          <w:bCs/>
          <w:color w:val="000000" w:themeColor="text1"/>
          <w:bdr w:val="none" w:sz="0" w:space="0" w:color="auto" w:frame="1"/>
          <w:shd w:val="clear" w:color="auto" w:fill="C6C6C6"/>
        </w:rPr>
        <w:t> </w:t>
      </w:r>
    </w:p>
    <w:p w14:paraId="1E0DA398" w14:textId="77777777" w:rsidR="009C4D05" w:rsidRDefault="009C4D05" w:rsidP="009C4D05">
      <w:pPr>
        <w:spacing w:after="0"/>
        <w:textAlignment w:val="baseline"/>
        <w:rPr>
          <w:rFonts w:ascii="Times New Roman" w:eastAsia="Times New Roman" w:hAnsi="Times New Roman" w:cs="Times New Roman"/>
          <w:color w:val="000000" w:themeColor="text1"/>
        </w:rPr>
      </w:pPr>
    </w:p>
    <w:p w14:paraId="0C49C3D5" w14:textId="77777777" w:rsidR="009C4D05" w:rsidRPr="009C4D05" w:rsidRDefault="009C4D05" w:rsidP="009C4D05">
      <w:pPr>
        <w:spacing w:after="0"/>
        <w:textAlignment w:val="baseline"/>
      </w:pPr>
      <w:r>
        <w:rPr>
          <w:rFonts w:ascii="Times New Roman" w:eastAsia="Times New Roman" w:hAnsi="Times New Roman" w:cs="Times New Roman"/>
          <w:color w:val="000000" w:themeColor="text1"/>
        </w:rPr>
        <w:t>The purpose of the model is to characterize how heterogeneity in the inference substrate that agents use to represent and reason about a shared task affects the coordination dynamics of recursive-mutual-belief teams. The baseline behavior we seek to preserve is that of the Extended Mutual Belief Model (EMBM) of Okabe et al. (2025), whose published curves show that (</w:t>
      </w:r>
      <w:proofErr w:type="spellStart"/>
      <w:r>
        <w:rPr>
          <w:rFonts w:ascii="Times New Roman" w:eastAsia="Times New Roman" w:hAnsi="Times New Roman" w:cs="Times New Roman"/>
          <w:color w:val="000000" w:themeColor="text1"/>
        </w:rPr>
        <w:t>i</w:t>
      </w:r>
      <w:proofErr w:type="spellEnd"/>
      <w:r>
        <w:rPr>
          <w:rFonts w:ascii="Times New Roman" w:eastAsia="Times New Roman" w:hAnsi="Times New Roman" w:cs="Times New Roman"/>
          <w:color w:val="000000" w:themeColor="text1"/>
        </w:rPr>
        <w:t xml:space="preserve">) matched three-agent teams with the second and third belief layers reach higher team situation awareness than teams lacking those layers, and (ii) matched team behavior is sensitive to threshold and scenario difficulty. Our extension is designed to probe two additional patterns that only emerge when substrates can differ across agents: a sensitivity gain, in which mismatched teams under aware projection detect more inter-agent conflicts than matched teams, </w:t>
      </w:r>
      <w:r>
        <w:rPr>
          <w:rFonts w:ascii="Times New Roman" w:eastAsia="Times New Roman" w:hAnsi="Times New Roman" w:cs="Times New Roman"/>
          <w:color w:val="000000" w:themeColor="text1"/>
        </w:rPr>
        <w:lastRenderedPageBreak/>
        <w:t>and an inference quality loss, in which the mismatched substrate degrades single-agent diagnostic accuracy. Section 5 reports these patterns and Section 6 develops their joint interpretation as a two-force account.</w:t>
      </w:r>
      <w:r>
        <w:rPr>
          <w:rFonts w:ascii="Times New Roman" w:eastAsia="Times New Roman" w:hAnsi="Times New Roman" w:cs="Times New Roman"/>
          <w:color w:val="000000" w:themeColor="text1"/>
          <w:bdr w:val="none" w:sz="0" w:space="0" w:color="auto" w:frame="1"/>
          <w:shd w:val="clear" w:color="auto" w:fill="C6C6C6"/>
        </w:rPr>
        <w:t> </w:t>
      </w:r>
    </w:p>
    <w:p w14:paraId="04EA6C0B" w14:textId="77777777" w:rsidR="6FF5288D" w:rsidRDefault="6FF5288D" w:rsidP="6FF5288D">
      <w:pPr>
        <w:spacing w:after="0"/>
        <w:rPr>
          <w:rFonts w:ascii="Times New Roman" w:eastAsia="Times New Roman" w:hAnsi="Times New Roman" w:cs="Times New Roman"/>
          <w:color w:val="000000" w:themeColor="text1"/>
        </w:rPr>
      </w:pPr>
    </w:p>
    <w:p w14:paraId="303F952C" w14:textId="77777777" w:rsidR="009C4D05" w:rsidRDefault="009C4D05" w:rsidP="009C4D05">
      <w:pPr>
        <w:spacing w:after="0"/>
        <w:textAlignment w:val="baseline"/>
        <w:rPr>
          <w:rFonts w:ascii="Times New Roman" w:eastAsia="Times New Roman" w:hAnsi="Times New Roman" w:cs="Times New Roman"/>
          <w:b/>
          <w:bCs/>
          <w:color w:val="000000" w:themeColor="text1"/>
          <w:bdr w:val="none" w:sz="0" w:space="0" w:color="auto" w:frame="1"/>
          <w:shd w:val="clear" w:color="auto" w:fill="C6C6C6"/>
        </w:rPr>
      </w:pPr>
      <w:r>
        <w:rPr>
          <w:rFonts w:ascii="Times New Roman" w:eastAsia="Times New Roman" w:hAnsi="Times New Roman" w:cs="Times New Roman"/>
          <w:b/>
          <w:bCs/>
          <w:color w:val="000000" w:themeColor="text1"/>
        </w:rPr>
        <w:t>3.2 Entities, state variables, and scales</w:t>
      </w:r>
      <w:r>
        <w:rPr>
          <w:rFonts w:ascii="Times New Roman" w:eastAsia="Times New Roman" w:hAnsi="Times New Roman" w:cs="Times New Roman"/>
          <w:b/>
          <w:bCs/>
          <w:color w:val="000000" w:themeColor="text1"/>
          <w:bdr w:val="none" w:sz="0" w:space="0" w:color="auto" w:frame="1"/>
          <w:shd w:val="clear" w:color="auto" w:fill="C6C6C6"/>
        </w:rPr>
        <w:t> </w:t>
      </w:r>
    </w:p>
    <w:p w14:paraId="124A9526" w14:textId="77777777" w:rsidR="009C4D05" w:rsidRPr="009C4D05" w:rsidRDefault="009C4D05" w:rsidP="009C4D05">
      <w:pPr>
        <w:spacing w:after="0"/>
        <w:textAlignment w:val="baseline"/>
        <w:rPr>
          <w:rFonts w:ascii="Times New Roman" w:eastAsia="Times New Roman" w:hAnsi="Times New Roman" w:cs="Times New Roman"/>
          <w:b/>
          <w:bCs/>
          <w:color w:val="000000" w:themeColor="text1"/>
        </w:rPr>
      </w:pPr>
    </w:p>
    <w:p w14:paraId="52489650"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The model contains four types of entities.</w:t>
      </w:r>
      <w:r>
        <w:rPr>
          <w:rFonts w:ascii="Times New Roman" w:eastAsia="Times New Roman" w:hAnsi="Times New Roman" w:cs="Times New Roman"/>
          <w:color w:val="000000" w:themeColor="text1"/>
          <w:bdr w:val="none" w:sz="0" w:space="0" w:color="auto" w:frame="1"/>
          <w:shd w:val="clear" w:color="auto" w:fill="C6C6C6"/>
        </w:rPr>
        <w:t> </w:t>
      </w:r>
    </w:p>
    <w:p w14:paraId="45BB6E27" w14:textId="4EEA1DAE"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Agents. Three agents, labeled A, B, and C, jointly diagnose a shared 17-node Bayesian network. Each agent maintains seven internal belief structures organized in three layers, following the EMBM of </w:t>
      </w:r>
      <w:proofErr w:type="spellStart"/>
      <w:r>
        <w:rPr>
          <w:rFonts w:ascii="Times New Roman" w:eastAsia="Times New Roman" w:hAnsi="Times New Roman" w:cs="Times New Roman"/>
          <w:color w:val="000000" w:themeColor="text1"/>
        </w:rPr>
        <w:t>Mahardhika</w:t>
      </w:r>
      <w:proofErr w:type="spellEnd"/>
      <w:r>
        <w:rPr>
          <w:rFonts w:ascii="Times New Roman" w:eastAsia="Times New Roman" w:hAnsi="Times New Roman" w:cs="Times New Roman"/>
          <w:color w:val="000000" w:themeColor="text1"/>
        </w:rPr>
        <w:t xml:space="preserve"> et al. (2016): one L1 self-cognition, two L2 direct beliefs (one per teammate), and four L3 projected beliefs (each teammate’s belief about each of the other two agents). Each belief structure is populated by an inference engine — a computational object over the shared causal specification that implements the interface described in §3.7.1. The kind of engine that populates each belief structure is a design variable governed by the substrate-composition and projection-mode manipulations of §4.</w:t>
      </w:r>
      <w:r>
        <w:rPr>
          <w:rFonts w:ascii="Times New Roman" w:eastAsia="Times New Roman" w:hAnsi="Times New Roman" w:cs="Times New Roman"/>
          <w:color w:val="000000" w:themeColor="text1"/>
          <w:bdr w:val="none" w:sz="0" w:space="0" w:color="auto" w:frame="1"/>
          <w:shd w:val="clear" w:color="auto" w:fill="C6C6C6"/>
        </w:rPr>
        <w:t> </w:t>
      </w:r>
    </w:p>
    <w:p w14:paraId="427DA802"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Belief structures. Each of the seven per-agent belief structures holds, at any point in time, a posterior distribution over each node’s state variable, a categorical diagnosis for each node (either a specific state or the sentinel UNCERTAIN), and a running record of evidence ingested so far. State cardinality varies by node (2 or 3 states in both networks).</w:t>
      </w:r>
      <w:r>
        <w:rPr>
          <w:rFonts w:ascii="Times New Roman" w:eastAsia="Times New Roman" w:hAnsi="Times New Roman" w:cs="Times New Roman"/>
          <w:color w:val="000000" w:themeColor="text1"/>
          <w:bdr w:val="none" w:sz="0" w:space="0" w:color="auto" w:frame="1"/>
          <w:shd w:val="clear" w:color="auto" w:fill="C6C6C6"/>
        </w:rPr>
        <w:t> </w:t>
      </w:r>
    </w:p>
    <w:p w14:paraId="69A32665"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The causal specification. A 17-node directed acyclic graph over discrete-state nodes with associated conditional probability tables (CPTs). Ten nodes are observable to at least one agent; seven are unobservable inference targets that must be reasoned about via projection and communication. The specification is held constant across all cells of the experimental design; it is described concretely in §3.7.5.</w:t>
      </w:r>
      <w:r>
        <w:rPr>
          <w:rFonts w:ascii="Times New Roman" w:eastAsia="Times New Roman" w:hAnsi="Times New Roman" w:cs="Times New Roman"/>
          <w:color w:val="000000" w:themeColor="text1"/>
          <w:bdr w:val="none" w:sz="0" w:space="0" w:color="auto" w:frame="1"/>
          <w:shd w:val="clear" w:color="auto" w:fill="C6C6C6"/>
        </w:rPr>
        <w:t> </w:t>
      </w:r>
    </w:p>
    <w:p w14:paraId="3304F072"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The scenario. A ground-truth assignment of states to all 17 nodes, drawn from the network’s joint distribution. A scenario represents a specific fault configuration the team must diagnose.</w:t>
      </w:r>
      <w:r>
        <w:rPr>
          <w:rFonts w:ascii="Times New Roman" w:eastAsia="Times New Roman" w:hAnsi="Times New Roman" w:cs="Times New Roman"/>
          <w:color w:val="000000" w:themeColor="text1"/>
          <w:bdr w:val="none" w:sz="0" w:space="0" w:color="auto" w:frame="1"/>
          <w:shd w:val="clear" w:color="auto" w:fill="C6C6C6"/>
        </w:rPr>
        <w:t> </w:t>
      </w:r>
    </w:p>
    <w:p w14:paraId="5F8913A3" w14:textId="77777777"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t xml:space="preserve">Scales. The model has no spatial extent. Time is </w:t>
      </w:r>
      <w:proofErr w:type="gramStart"/>
      <w:r>
        <w:rPr>
          <w:rFonts w:ascii="Times New Roman" w:eastAsia="Times New Roman" w:hAnsi="Times New Roman" w:cs="Times New Roman"/>
          <w:color w:val="000000" w:themeColor="text1"/>
        </w:rPr>
        <w:t>discrete</w:t>
      </w:r>
      <w:proofErr w:type="gramEnd"/>
      <w:r>
        <w:rPr>
          <w:rFonts w:ascii="Times New Roman" w:eastAsia="Times New Roman" w:hAnsi="Times New Roman" w:cs="Times New Roman"/>
          <w:color w:val="000000" w:themeColor="text1"/>
        </w:rPr>
        <w:t>. A run consists of an observation phase of exactly 15 steps (each of the three agents observes each of its five assigned nodes once), followed by a cooperation phase of variable length (bounded above by 100 steps). Cell-level replication uses fifteen independent runs per (scenario, cell) combination.</w:t>
      </w:r>
      <w:r>
        <w:rPr>
          <w:rFonts w:ascii="Times New Roman" w:eastAsia="Times New Roman" w:hAnsi="Times New Roman" w:cs="Times New Roman"/>
          <w:color w:val="000000" w:themeColor="text1"/>
          <w:bdr w:val="none" w:sz="0" w:space="0" w:color="auto" w:frame="1"/>
          <w:shd w:val="clear" w:color="auto" w:fill="C6C6C6"/>
        </w:rPr>
        <w:t> </w:t>
      </w:r>
    </w:p>
    <w:p w14:paraId="28C34655"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p>
    <w:p w14:paraId="666DF6DB" w14:textId="77777777" w:rsidR="009C4D05" w:rsidRDefault="009C4D05" w:rsidP="009C4D05">
      <w:pPr>
        <w:spacing w:after="0"/>
        <w:textAlignment w:val="baseline"/>
        <w:rPr>
          <w:rFonts w:ascii="Times New Roman" w:eastAsia="Times New Roman" w:hAnsi="Times New Roman" w:cs="Times New Roman"/>
          <w:b/>
          <w:bCs/>
          <w:color w:val="000000" w:themeColor="text1"/>
          <w:bdr w:val="none" w:sz="0" w:space="0" w:color="auto" w:frame="1"/>
          <w:shd w:val="clear" w:color="auto" w:fill="C6C6C6"/>
        </w:rPr>
      </w:pPr>
      <w:r>
        <w:rPr>
          <w:rFonts w:ascii="Times New Roman" w:eastAsia="Times New Roman" w:hAnsi="Times New Roman" w:cs="Times New Roman"/>
          <w:b/>
          <w:bCs/>
          <w:color w:val="000000" w:themeColor="text1"/>
        </w:rPr>
        <w:t>3.3 Process overview and scheduling</w:t>
      </w:r>
      <w:r>
        <w:rPr>
          <w:rFonts w:ascii="Times New Roman" w:eastAsia="Times New Roman" w:hAnsi="Times New Roman" w:cs="Times New Roman"/>
          <w:b/>
          <w:bCs/>
          <w:color w:val="000000" w:themeColor="text1"/>
          <w:bdr w:val="none" w:sz="0" w:space="0" w:color="auto" w:frame="1"/>
          <w:shd w:val="clear" w:color="auto" w:fill="C6C6C6"/>
        </w:rPr>
        <w:t> </w:t>
      </w:r>
    </w:p>
    <w:p w14:paraId="23A41071" w14:textId="77777777" w:rsidR="009C4D05" w:rsidRPr="009C4D05" w:rsidRDefault="009C4D05" w:rsidP="009C4D05">
      <w:pPr>
        <w:spacing w:after="0"/>
        <w:textAlignment w:val="baseline"/>
        <w:rPr>
          <w:rFonts w:ascii="Times New Roman" w:eastAsia="Times New Roman" w:hAnsi="Times New Roman" w:cs="Times New Roman"/>
          <w:b/>
          <w:bCs/>
          <w:color w:val="000000" w:themeColor="text1"/>
        </w:rPr>
      </w:pPr>
    </w:p>
    <w:p w14:paraId="68179391"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Time advances in discrete steps. At t = 0, all agents have empty belief structures and no evidence. The two phases execute in sequence.</w:t>
      </w:r>
      <w:r>
        <w:rPr>
          <w:rFonts w:ascii="Times New Roman" w:eastAsia="Times New Roman" w:hAnsi="Times New Roman" w:cs="Times New Roman"/>
          <w:color w:val="000000" w:themeColor="text1"/>
          <w:bdr w:val="none" w:sz="0" w:space="0" w:color="auto" w:frame="1"/>
          <w:shd w:val="clear" w:color="auto" w:fill="C6C6C6"/>
        </w:rPr>
        <w:t> </w:t>
      </w:r>
    </w:p>
    <w:p w14:paraId="6B851DAE" w14:textId="6A1DB20F"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Observation phase (steps 1–15). At each step, one agent–node pair is drawn from the pending observation queue (initialized with three sub-queues of five agent-node pairs each). The agent observes the node’s ground-truth state, ingests this as hard evidence into its L1 self-cognition, then propagates the update to its L2 and L3 belief structures via a downward-effect</w:t>
      </w:r>
      <w:r w:rsidR="00B53439">
        <w:rPr>
          <w:rFonts w:ascii="Times New Roman" w:eastAsia="Times New Roman" w:hAnsi="Times New Roman" w:cs="Times New Roman"/>
          <w:color w:val="000000" w:themeColor="text1"/>
        </w:rPr>
        <w:t xml:space="preserve"> </w:t>
      </w:r>
      <w:proofErr w:type="spellStart"/>
      <w:r>
        <w:rPr>
          <w:rFonts w:ascii="Times New Roman" w:eastAsia="Times New Roman" w:hAnsi="Times New Roman" w:cs="Times New Roman"/>
          <w:color w:val="000000" w:themeColor="text1"/>
        </w:rPr>
        <w:t>submodel</w:t>
      </w:r>
      <w:proofErr w:type="spellEnd"/>
      <w:r w:rsidR="00B53439">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(agents update their beliefs about teammates’ beliefs based on their own new observation, following the intra-agent metacognitive control specified by Okabe et al. (2025, §2.4)). Observation-phase step order is randomized per run.</w:t>
      </w:r>
      <w:r>
        <w:rPr>
          <w:rFonts w:ascii="Times New Roman" w:eastAsia="Times New Roman" w:hAnsi="Times New Roman" w:cs="Times New Roman"/>
          <w:color w:val="000000" w:themeColor="text1"/>
          <w:bdr w:val="none" w:sz="0" w:space="0" w:color="auto" w:frame="1"/>
          <w:shd w:val="clear" w:color="auto" w:fill="C6C6C6"/>
        </w:rPr>
        <w:t> </w:t>
      </w:r>
    </w:p>
    <w:p w14:paraId="6CD08DA6" w14:textId="321305F2"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t xml:space="preserve">Cooperation phase (steps 16 to termination). At each step, one agent is selected uniformly at random from the set of agents with at least one pending detected conflict. The selected agent identifies its highest-importance conflict via the mutual-information node importance measure (§3.7.6) and executes one of three actions to resolve it: look-at (a direct observation of one of its </w:t>
      </w:r>
      <w:r>
        <w:rPr>
          <w:rFonts w:ascii="Times New Roman" w:eastAsia="Times New Roman" w:hAnsi="Times New Roman" w:cs="Times New Roman"/>
          <w:color w:val="000000" w:themeColor="text1"/>
        </w:rPr>
        <w:lastRenderedPageBreak/>
        <w:t xml:space="preserve">own observable nodes); query (asking a teammate for that teammate’s diagnosis of a node); or inform (asserting the agent’s own diagnosis of a node to a teammate). The action is executed, evidence flows to the appropriate belief structures of sender, receiver, and the third agent (who hears the exchange), and all agents update their conflict lists. Cross-substrate evidence passing invokes the translation </w:t>
      </w:r>
      <w:proofErr w:type="spellStart"/>
      <w:r>
        <w:rPr>
          <w:rFonts w:ascii="Times New Roman" w:eastAsia="Times New Roman" w:hAnsi="Times New Roman" w:cs="Times New Roman"/>
          <w:color w:val="000000" w:themeColor="text1"/>
        </w:rPr>
        <w:t>submodel</w:t>
      </w:r>
      <w:proofErr w:type="spellEnd"/>
      <w:r>
        <w:rPr>
          <w:rFonts w:ascii="Times New Roman" w:eastAsia="Times New Roman" w:hAnsi="Times New Roman" w:cs="Times New Roman"/>
          <w:color w:val="000000" w:themeColor="text1"/>
        </w:rPr>
        <w:t xml:space="preserve"> (§3.7.4). The cooperation phase terminates when (</w:t>
      </w:r>
      <w:proofErr w:type="spellStart"/>
      <w:r>
        <w:rPr>
          <w:rFonts w:ascii="Times New Roman" w:eastAsia="Times New Roman" w:hAnsi="Times New Roman" w:cs="Times New Roman"/>
          <w:color w:val="000000" w:themeColor="text1"/>
        </w:rPr>
        <w:t>i</w:t>
      </w:r>
      <w:proofErr w:type="spellEnd"/>
      <w:r>
        <w:rPr>
          <w:rFonts w:ascii="Times New Roman" w:eastAsia="Times New Roman" w:hAnsi="Times New Roman" w:cs="Times New Roman"/>
          <w:color w:val="000000" w:themeColor="text1"/>
        </w:rPr>
        <w:t>) no agent has any pending conflicts, (ii) five consecutive steps produce no change to any agent’s committed diagnosis vector, or (iii) 100 cooperation-phase actions have been executed.</w:t>
      </w:r>
      <w:r>
        <w:rPr>
          <w:rFonts w:ascii="Times New Roman" w:eastAsia="Times New Roman" w:hAnsi="Times New Roman" w:cs="Times New Roman"/>
          <w:color w:val="000000" w:themeColor="text1"/>
          <w:bdr w:val="none" w:sz="0" w:space="0" w:color="auto" w:frame="1"/>
          <w:shd w:val="clear" w:color="auto" w:fill="C6C6C6"/>
        </w:rPr>
        <w:t> </w:t>
      </w:r>
    </w:p>
    <w:p w14:paraId="17D719CF"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p>
    <w:p w14:paraId="3205E175" w14:textId="77777777" w:rsidR="009C4D05" w:rsidRPr="009C4D05" w:rsidRDefault="009C4D05" w:rsidP="009C4D05">
      <w:pPr>
        <w:spacing w:after="0"/>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3.4 Design concepts</w:t>
      </w:r>
      <w:r>
        <w:rPr>
          <w:rFonts w:ascii="Times New Roman" w:eastAsia="Times New Roman" w:hAnsi="Times New Roman" w:cs="Times New Roman"/>
          <w:b/>
          <w:bCs/>
          <w:color w:val="000000" w:themeColor="text1"/>
          <w:bdr w:val="none" w:sz="0" w:space="0" w:color="auto" w:frame="1"/>
          <w:shd w:val="clear" w:color="auto" w:fill="C6C6C6"/>
        </w:rPr>
        <w:t> </w:t>
      </w:r>
    </w:p>
    <w:p w14:paraId="26A71561" w14:textId="77777777" w:rsidR="009C4D05" w:rsidRDefault="009C4D05" w:rsidP="009C4D05">
      <w:pPr>
        <w:spacing w:after="0"/>
        <w:textAlignment w:val="baseline"/>
        <w:rPr>
          <w:rFonts w:ascii="Times New Roman" w:eastAsia="Times New Roman" w:hAnsi="Times New Roman" w:cs="Times New Roman"/>
          <w:color w:val="000000" w:themeColor="text1"/>
        </w:rPr>
      </w:pPr>
    </w:p>
    <w:p w14:paraId="72EBF5D7" w14:textId="0E15F9EF"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Basic principles.</w:t>
      </w:r>
      <w:r>
        <w:rPr>
          <w:rFonts w:ascii="Times New Roman" w:eastAsia="Times New Roman" w:hAnsi="Times New Roman" w:cs="Times New Roman"/>
          <w:color w:val="000000" w:themeColor="text1"/>
        </w:rPr>
        <w:t xml:space="preserve"> The model rests on the recursive-mutual-belief formalism of Kanno et al. (2013), extended to three-person teams with mental subgrouping fixed at level one by </w:t>
      </w:r>
      <w:proofErr w:type="spellStart"/>
      <w:r>
        <w:rPr>
          <w:rFonts w:ascii="Times New Roman" w:eastAsia="Times New Roman" w:hAnsi="Times New Roman" w:cs="Times New Roman"/>
          <w:color w:val="000000" w:themeColor="text1"/>
        </w:rPr>
        <w:t>Mahardhika</w:t>
      </w:r>
      <w:proofErr w:type="spellEnd"/>
      <w:r>
        <w:rPr>
          <w:rFonts w:ascii="Times New Roman" w:eastAsia="Times New Roman" w:hAnsi="Times New Roman" w:cs="Times New Roman"/>
          <w:color w:val="000000" w:themeColor="text1"/>
        </w:rPr>
        <w:t xml:space="preserve"> et al. (2016), and further extended by Okabe et al. (2025) with a Bayesian belief network as the specific inference substrate for each of the seven belief structures per agent. Our contribution replaces the substrate-homogeneity assumption </w:t>
      </w:r>
      <w:r w:rsidR="00E2350A">
        <w:rPr>
          <w:rFonts w:ascii="Times New Roman" w:eastAsia="Times New Roman" w:hAnsi="Times New Roman" w:cs="Times New Roman"/>
          <w:color w:val="000000" w:themeColor="text1"/>
        </w:rPr>
        <w:t>in</w:t>
      </w:r>
      <w:r>
        <w:rPr>
          <w:rFonts w:ascii="Times New Roman" w:eastAsia="Times New Roman" w:hAnsi="Times New Roman" w:cs="Times New Roman"/>
          <w:color w:val="000000" w:themeColor="text1"/>
        </w:rPr>
        <w:t xml:space="preserve"> Okabe et al. </w:t>
      </w:r>
      <w:r w:rsidR="00E2350A">
        <w:rPr>
          <w:rFonts w:ascii="Times New Roman" w:eastAsia="Times New Roman" w:hAnsi="Times New Roman" w:cs="Times New Roman"/>
          <w:color w:val="000000" w:themeColor="text1"/>
        </w:rPr>
        <w:t xml:space="preserve">(2025) </w:t>
      </w:r>
      <w:r>
        <w:rPr>
          <w:rFonts w:ascii="Times New Roman" w:eastAsia="Times New Roman" w:hAnsi="Times New Roman" w:cs="Times New Roman"/>
          <w:color w:val="000000" w:themeColor="text1"/>
        </w:rPr>
        <w:t>with a pluggable-substrate architecture.</w:t>
      </w:r>
      <w:r>
        <w:rPr>
          <w:rFonts w:ascii="Times New Roman" w:eastAsia="Times New Roman" w:hAnsi="Times New Roman" w:cs="Times New Roman"/>
          <w:color w:val="000000" w:themeColor="text1"/>
          <w:bdr w:val="none" w:sz="0" w:space="0" w:color="auto" w:frame="1"/>
          <w:shd w:val="clear" w:color="auto" w:fill="C6C6C6"/>
        </w:rPr>
        <w:t> </w:t>
      </w:r>
    </w:p>
    <w:p w14:paraId="61431D82"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Emergence.</w:t>
      </w:r>
      <w:r>
        <w:rPr>
          <w:rFonts w:ascii="Times New Roman" w:eastAsia="Times New Roman" w:hAnsi="Times New Roman" w:cs="Times New Roman"/>
          <w:color w:val="000000" w:themeColor="text1"/>
        </w:rPr>
        <w:t> The two team-level phenomena we study — sensitivity gain and inference quality loss — are emergent in the technical sense: neither is representable in the state of any single agent at any single time step. Sensitivity gain is only measurable across paired conditions (matched vs mismatched) at the level of the initial-conflict snapshot; inference quality loss is only measurable at the end of the cooperation phase against ground truth.</w:t>
      </w:r>
      <w:r>
        <w:rPr>
          <w:rFonts w:ascii="Times New Roman" w:eastAsia="Times New Roman" w:hAnsi="Times New Roman" w:cs="Times New Roman"/>
          <w:color w:val="000000" w:themeColor="text1"/>
          <w:bdr w:val="none" w:sz="0" w:space="0" w:color="auto" w:frame="1"/>
          <w:shd w:val="clear" w:color="auto" w:fill="C6C6C6"/>
        </w:rPr>
        <w:t> </w:t>
      </w:r>
    </w:p>
    <w:p w14:paraId="66CFED59"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Adaptation.</w:t>
      </w:r>
      <w:r>
        <w:rPr>
          <w:rFonts w:ascii="Times New Roman" w:eastAsia="Times New Roman" w:hAnsi="Times New Roman" w:cs="Times New Roman"/>
          <w:color w:val="000000" w:themeColor="text1"/>
        </w:rPr>
        <w:t xml:space="preserve"> Agents adapt their beliefs by </w:t>
      </w:r>
      <w:proofErr w:type="gramStart"/>
      <w:r>
        <w:rPr>
          <w:rFonts w:ascii="Times New Roman" w:eastAsia="Times New Roman" w:hAnsi="Times New Roman" w:cs="Times New Roman"/>
          <w:color w:val="000000" w:themeColor="text1"/>
        </w:rPr>
        <w:t>ingesting</w:t>
      </w:r>
      <w:proofErr w:type="gramEnd"/>
      <w:r>
        <w:rPr>
          <w:rFonts w:ascii="Times New Roman" w:eastAsia="Times New Roman" w:hAnsi="Times New Roman" w:cs="Times New Roman"/>
          <w:color w:val="000000" w:themeColor="text1"/>
        </w:rPr>
        <w:t xml:space="preserve"> evidence from observation and communication, but they do not adapt their inference substrate or its parameters during a run. Substrate choice is fixed at initialization.</w:t>
      </w:r>
      <w:r>
        <w:rPr>
          <w:rFonts w:ascii="Times New Roman" w:eastAsia="Times New Roman" w:hAnsi="Times New Roman" w:cs="Times New Roman"/>
          <w:color w:val="000000" w:themeColor="text1"/>
          <w:bdr w:val="none" w:sz="0" w:space="0" w:color="auto" w:frame="1"/>
          <w:shd w:val="clear" w:color="auto" w:fill="C6C6C6"/>
        </w:rPr>
        <w:t> </w:t>
      </w:r>
    </w:p>
    <w:p w14:paraId="51D16977"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Objectives.</w:t>
      </w:r>
      <w:r>
        <w:rPr>
          <w:rFonts w:ascii="Times New Roman" w:eastAsia="Times New Roman" w:hAnsi="Times New Roman" w:cs="Times New Roman"/>
          <w:color w:val="000000" w:themeColor="text1"/>
        </w:rPr>
        <w:t> Agents have no explicit utility function. Actions are chosen to resolve the highest-importance detected conflict, where importance is defined by mutual information following Okabe et al. (2025, Eq. 3). This is a rule-based rather than optimization-based objective structure.</w:t>
      </w:r>
      <w:r>
        <w:rPr>
          <w:rFonts w:ascii="Times New Roman" w:eastAsia="Times New Roman" w:hAnsi="Times New Roman" w:cs="Times New Roman"/>
          <w:color w:val="000000" w:themeColor="text1"/>
          <w:bdr w:val="none" w:sz="0" w:space="0" w:color="auto" w:frame="1"/>
          <w:shd w:val="clear" w:color="auto" w:fill="C6C6C6"/>
        </w:rPr>
        <w:t> </w:t>
      </w:r>
    </w:p>
    <w:p w14:paraId="69C7D6EA"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Learning.</w:t>
      </w:r>
      <w:r>
        <w:rPr>
          <w:rFonts w:ascii="Times New Roman" w:eastAsia="Times New Roman" w:hAnsi="Times New Roman" w:cs="Times New Roman"/>
          <w:color w:val="000000" w:themeColor="text1"/>
        </w:rPr>
        <w:t> No agent learns. The inference engines are hand-specified from the causal specification, not trained on data.</w:t>
      </w:r>
      <w:r>
        <w:rPr>
          <w:rFonts w:ascii="Times New Roman" w:eastAsia="Times New Roman" w:hAnsi="Times New Roman" w:cs="Times New Roman"/>
          <w:color w:val="000000" w:themeColor="text1"/>
          <w:bdr w:val="none" w:sz="0" w:space="0" w:color="auto" w:frame="1"/>
          <w:shd w:val="clear" w:color="auto" w:fill="C6C6C6"/>
        </w:rPr>
        <w:t> </w:t>
      </w:r>
    </w:p>
    <w:p w14:paraId="328CC34C"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Prediction.</w:t>
      </w:r>
      <w:r>
        <w:rPr>
          <w:rFonts w:ascii="Times New Roman" w:eastAsia="Times New Roman" w:hAnsi="Times New Roman" w:cs="Times New Roman"/>
          <w:color w:val="000000" w:themeColor="text1"/>
        </w:rPr>
        <w:t> Prediction is embedded in the L3 projected-belief structures: each agent maintains a prediction of what each teammate believes about the third teammate. The projection-mode manipulation (§3.7.2) varies whether these predictions use the target’s true substrate (aware) or the owner’s substrate (naive).</w:t>
      </w:r>
      <w:r>
        <w:rPr>
          <w:rFonts w:ascii="Times New Roman" w:eastAsia="Times New Roman" w:hAnsi="Times New Roman" w:cs="Times New Roman"/>
          <w:color w:val="000000" w:themeColor="text1"/>
          <w:bdr w:val="none" w:sz="0" w:space="0" w:color="auto" w:frame="1"/>
          <w:shd w:val="clear" w:color="auto" w:fill="C6C6C6"/>
        </w:rPr>
        <w:t> </w:t>
      </w:r>
    </w:p>
    <w:p w14:paraId="5D2D10DA" w14:textId="1044CE02"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Sensing. </w:t>
      </w:r>
      <w:r>
        <w:rPr>
          <w:rFonts w:ascii="Times New Roman" w:eastAsia="Times New Roman" w:hAnsi="Times New Roman" w:cs="Times New Roman"/>
          <w:color w:val="000000" w:themeColor="text1"/>
        </w:rPr>
        <w:t>Agents sense in two ways: direct observation of assigned nodes (perfect, deterministic), and communication with teammates (evidence transmitted through the translation layer of §3.7.4). No agent has direct access to any other agent’s internal state; every teammate’s belief is</w:t>
      </w:r>
      <w:r w:rsidR="00B53439">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model-based.</w:t>
      </w:r>
      <w:r>
        <w:rPr>
          <w:rFonts w:ascii="Times New Roman" w:eastAsia="Times New Roman" w:hAnsi="Times New Roman" w:cs="Times New Roman"/>
          <w:color w:val="000000" w:themeColor="text1"/>
          <w:bdr w:val="none" w:sz="0" w:space="0" w:color="auto" w:frame="1"/>
          <w:shd w:val="clear" w:color="auto" w:fill="C6C6C6"/>
        </w:rPr>
        <w:t> </w:t>
      </w:r>
    </w:p>
    <w:p w14:paraId="24EC57A9"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Interaction.</w:t>
      </w:r>
      <w:r>
        <w:rPr>
          <w:rFonts w:ascii="Times New Roman" w:eastAsia="Times New Roman" w:hAnsi="Times New Roman" w:cs="Times New Roman"/>
          <w:color w:val="000000" w:themeColor="text1"/>
        </w:rPr>
        <w:t> Agents interact through communication actions (query, inform) that always involve a sender and a receiver, with the third agent hearing the exchange and updating its own belief structures accordingly.</w:t>
      </w:r>
      <w:r>
        <w:rPr>
          <w:rFonts w:ascii="Times New Roman" w:eastAsia="Times New Roman" w:hAnsi="Times New Roman" w:cs="Times New Roman"/>
          <w:color w:val="000000" w:themeColor="text1"/>
          <w:bdr w:val="none" w:sz="0" w:space="0" w:color="auto" w:frame="1"/>
          <w:shd w:val="clear" w:color="auto" w:fill="C6C6C6"/>
        </w:rPr>
        <w:t> </w:t>
      </w:r>
    </w:p>
    <w:p w14:paraId="19EBA76B" w14:textId="270E4D93"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Stochasticity. </w:t>
      </w:r>
      <w:r>
        <w:rPr>
          <w:rFonts w:ascii="Times New Roman" w:eastAsia="Times New Roman" w:hAnsi="Times New Roman" w:cs="Times New Roman"/>
          <w:color w:val="000000" w:themeColor="text1"/>
        </w:rPr>
        <w:t>There are three sources of stochasticity: (</w:t>
      </w:r>
      <w:proofErr w:type="spellStart"/>
      <w:r>
        <w:rPr>
          <w:rFonts w:ascii="Times New Roman" w:eastAsia="Times New Roman" w:hAnsi="Times New Roman" w:cs="Times New Roman"/>
          <w:color w:val="000000" w:themeColor="text1"/>
        </w:rPr>
        <w:t>i</w:t>
      </w:r>
      <w:proofErr w:type="spellEnd"/>
      <w:r>
        <w:rPr>
          <w:rFonts w:ascii="Times New Roman" w:eastAsia="Times New Roman" w:hAnsi="Times New Roman" w:cs="Times New Roman"/>
          <w:color w:val="000000" w:themeColor="text1"/>
        </w:rPr>
        <w:t xml:space="preserve">) the ground-truth scenario is sampled from the joint distribution of the network at initialization; (ii) observation-phase step order is randomized; (iii) cooperation-phase agent selection is uniform at random from the set of agents </w:t>
      </w:r>
      <w:r>
        <w:rPr>
          <w:rFonts w:ascii="Times New Roman" w:eastAsia="Times New Roman" w:hAnsi="Times New Roman" w:cs="Times New Roman"/>
          <w:color w:val="000000" w:themeColor="text1"/>
        </w:rPr>
        <w:lastRenderedPageBreak/>
        <w:t>with pending conflicts. All stochasticity is seeded per (cell, scenario, replicate) combination for reproducibility.</w:t>
      </w:r>
      <w:r>
        <w:rPr>
          <w:rFonts w:ascii="Times New Roman" w:eastAsia="Times New Roman" w:hAnsi="Times New Roman" w:cs="Times New Roman"/>
          <w:color w:val="000000" w:themeColor="text1"/>
          <w:bdr w:val="none" w:sz="0" w:space="0" w:color="auto" w:frame="1"/>
          <w:shd w:val="clear" w:color="auto" w:fill="C6C6C6"/>
        </w:rPr>
        <w:t> </w:t>
      </w:r>
    </w:p>
    <w:p w14:paraId="0082701E" w14:textId="24C2AFDF"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Collectives. </w:t>
      </w:r>
      <w:r>
        <w:rPr>
          <w:rFonts w:ascii="Times New Roman" w:eastAsia="Times New Roman" w:hAnsi="Times New Roman" w:cs="Times New Roman"/>
          <w:color w:val="000000" w:themeColor="text1"/>
        </w:rPr>
        <w:t xml:space="preserve">The three-agent team is the only collective. Mental subgrouping in the sense of </w:t>
      </w:r>
      <w:proofErr w:type="spellStart"/>
      <w:r>
        <w:rPr>
          <w:rFonts w:ascii="Times New Roman" w:eastAsia="Times New Roman" w:hAnsi="Times New Roman" w:cs="Times New Roman"/>
          <w:color w:val="000000" w:themeColor="text1"/>
        </w:rPr>
        <w:t>Mahardhika</w:t>
      </w:r>
      <w:proofErr w:type="spellEnd"/>
      <w:r>
        <w:rPr>
          <w:rFonts w:ascii="Times New Roman" w:eastAsia="Times New Roman" w:hAnsi="Times New Roman" w:cs="Times New Roman"/>
          <w:color w:val="000000" w:themeColor="text1"/>
        </w:rPr>
        <w:t xml:space="preserve"> et al. (2016) is fixed at level one — each agent models each other agent individually. Larger teams that would require subgrouping are discussed as a scope limitation in §6.6.</w:t>
      </w:r>
      <w:r>
        <w:rPr>
          <w:rFonts w:ascii="Times New Roman" w:eastAsia="Times New Roman" w:hAnsi="Times New Roman" w:cs="Times New Roman"/>
          <w:color w:val="000000" w:themeColor="text1"/>
          <w:bdr w:val="none" w:sz="0" w:space="0" w:color="auto" w:frame="1"/>
          <w:shd w:val="clear" w:color="auto" w:fill="C6C6C6"/>
        </w:rPr>
        <w:t> </w:t>
      </w:r>
    </w:p>
    <w:p w14:paraId="2713E3E0" w14:textId="77777777"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b/>
          <w:bCs/>
          <w:color w:val="000000" w:themeColor="text1"/>
        </w:rPr>
        <w:t>Observation.</w:t>
      </w:r>
      <w:r>
        <w:rPr>
          <w:rFonts w:ascii="Times New Roman" w:eastAsia="Times New Roman" w:hAnsi="Times New Roman" w:cs="Times New Roman"/>
          <w:color w:val="000000" w:themeColor="text1"/>
        </w:rPr>
        <w:t> The model records team accuracy (fraction of correctly diagnosed nodes averaged across the three agents), the initial conflict count (total conflicts pending at the moment cooperation begins), and, for the phantom/real decomposition of §5.6, the ground-truth correctness of the observing agent’s own L1 belief at the moment each conflict is detected. Section 4.3 gives the formal definitions.</w:t>
      </w:r>
      <w:r>
        <w:rPr>
          <w:rFonts w:ascii="Times New Roman" w:eastAsia="Times New Roman" w:hAnsi="Times New Roman" w:cs="Times New Roman"/>
          <w:color w:val="000000" w:themeColor="text1"/>
          <w:bdr w:val="none" w:sz="0" w:space="0" w:color="auto" w:frame="1"/>
          <w:shd w:val="clear" w:color="auto" w:fill="C6C6C6"/>
        </w:rPr>
        <w:t> </w:t>
      </w:r>
    </w:p>
    <w:p w14:paraId="4119CBF6"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p>
    <w:p w14:paraId="15B27B91" w14:textId="77777777" w:rsidR="009C4D05" w:rsidRPr="009C4D05" w:rsidRDefault="009C4D05" w:rsidP="009C4D05">
      <w:pPr>
        <w:spacing w:after="0"/>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3.5 Initialization</w:t>
      </w:r>
      <w:r>
        <w:rPr>
          <w:rFonts w:ascii="Times New Roman" w:eastAsia="Times New Roman" w:hAnsi="Times New Roman" w:cs="Times New Roman"/>
          <w:b/>
          <w:bCs/>
          <w:color w:val="000000" w:themeColor="text1"/>
          <w:bdr w:val="none" w:sz="0" w:space="0" w:color="auto" w:frame="1"/>
          <w:shd w:val="clear" w:color="auto" w:fill="C6C6C6"/>
        </w:rPr>
        <w:t> </w:t>
      </w:r>
    </w:p>
    <w:p w14:paraId="7B3B27B7" w14:textId="77777777" w:rsidR="009C4D05" w:rsidRDefault="009C4D05" w:rsidP="009C4D05">
      <w:pPr>
        <w:spacing w:after="0"/>
        <w:textAlignment w:val="baseline"/>
        <w:rPr>
          <w:rFonts w:ascii="Times New Roman" w:eastAsia="Times New Roman" w:hAnsi="Times New Roman" w:cs="Times New Roman"/>
          <w:color w:val="000000" w:themeColor="text1"/>
        </w:rPr>
      </w:pPr>
    </w:p>
    <w:p w14:paraId="276F809B" w14:textId="77777777"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t>At t = 0: the causal specification is loaded (§3.6); a ground-truth scenario is drawn or loaded; each agent’s seven belief structures are instantiated with the appropriate engine kinds according to the cell’s substrate composition and projection mode; and each belief structure is initialized to the network’s prior marginals (i.e., no evidence has been ingested yet). The observation queue for each agent is populated with that agent’s four observable nodes plus one further node drawn to reach five per agent, following the observability partition of §3.7.5.</w:t>
      </w:r>
      <w:r>
        <w:rPr>
          <w:rFonts w:ascii="Times New Roman" w:eastAsia="Times New Roman" w:hAnsi="Times New Roman" w:cs="Times New Roman"/>
          <w:color w:val="000000" w:themeColor="text1"/>
          <w:bdr w:val="none" w:sz="0" w:space="0" w:color="auto" w:frame="1"/>
          <w:shd w:val="clear" w:color="auto" w:fill="C6C6C6"/>
        </w:rPr>
        <w:t> </w:t>
      </w:r>
    </w:p>
    <w:p w14:paraId="7BA58E26"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p>
    <w:p w14:paraId="194B51D3" w14:textId="77777777" w:rsidR="009C4D05" w:rsidRPr="009C4D05" w:rsidRDefault="009C4D05" w:rsidP="009C4D05">
      <w:pPr>
        <w:spacing w:after="0"/>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3.6 Input data</w:t>
      </w:r>
      <w:r>
        <w:rPr>
          <w:rFonts w:ascii="Times New Roman" w:eastAsia="Times New Roman" w:hAnsi="Times New Roman" w:cs="Times New Roman"/>
          <w:b/>
          <w:bCs/>
          <w:color w:val="000000" w:themeColor="text1"/>
          <w:bdr w:val="none" w:sz="0" w:space="0" w:color="auto" w:frame="1"/>
          <w:shd w:val="clear" w:color="auto" w:fill="C6C6C6"/>
        </w:rPr>
        <w:t> </w:t>
      </w:r>
    </w:p>
    <w:p w14:paraId="798ED59A" w14:textId="77777777" w:rsidR="009C4D05" w:rsidRDefault="009C4D05" w:rsidP="009C4D05">
      <w:pPr>
        <w:spacing w:after="0"/>
        <w:textAlignment w:val="baseline"/>
        <w:rPr>
          <w:rFonts w:ascii="Times New Roman" w:eastAsia="Times New Roman" w:hAnsi="Times New Roman" w:cs="Times New Roman"/>
          <w:color w:val="000000" w:themeColor="text1"/>
        </w:rPr>
      </w:pPr>
    </w:p>
    <w:p w14:paraId="77A57FDC"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The model consumes three kinds of input.</w:t>
      </w:r>
      <w:r>
        <w:rPr>
          <w:rFonts w:ascii="Times New Roman" w:eastAsia="Times New Roman" w:hAnsi="Times New Roman" w:cs="Times New Roman"/>
          <w:color w:val="000000" w:themeColor="text1"/>
          <w:bdr w:val="none" w:sz="0" w:space="0" w:color="auto" w:frame="1"/>
          <w:shd w:val="clear" w:color="auto" w:fill="C6C6C6"/>
        </w:rPr>
        <w:t> </w:t>
      </w:r>
    </w:p>
    <w:p w14:paraId="23271223" w14:textId="1BD6AB85"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Causal specifications. </w:t>
      </w:r>
      <w:r>
        <w:rPr>
          <w:rFonts w:ascii="Times New Roman" w:eastAsia="Times New Roman" w:hAnsi="Times New Roman" w:cs="Times New Roman"/>
          <w:color w:val="000000" w:themeColor="text1"/>
        </w:rPr>
        <w:t>For the Kanno network, we load Okabe et al.’s </w:t>
      </w:r>
      <w:r w:rsidR="0067136C">
        <w:rPr>
          <w:rFonts w:ascii="Times New Roman" w:eastAsia="Times New Roman" w:hAnsi="Times New Roman" w:cs="Times New Roman"/>
          <w:color w:val="000000" w:themeColor="text1"/>
        </w:rPr>
        <w:t xml:space="preserve">(2025) </w:t>
      </w:r>
      <w:r>
        <w:rPr>
          <w:rFonts w:ascii="Times New Roman" w:eastAsia="Times New Roman" w:hAnsi="Times New Roman" w:cs="Times New Roman"/>
          <w:color w:val="000000" w:themeColor="text1"/>
        </w:rPr>
        <w:t xml:space="preserve">original </w:t>
      </w:r>
      <w:proofErr w:type="spellStart"/>
      <w:r>
        <w:rPr>
          <w:rFonts w:ascii="Times New Roman" w:eastAsia="Times New Roman" w:hAnsi="Times New Roman" w:cs="Times New Roman"/>
          <w:color w:val="000000" w:themeColor="text1"/>
        </w:rPr>
        <w:t>Netica</w:t>
      </w:r>
      <w:proofErr w:type="spellEnd"/>
      <w:r>
        <w:rPr>
          <w:rFonts w:ascii="Times New Roman" w:eastAsia="Times New Roman" w:hAnsi="Times New Roman" w:cs="Times New Roman"/>
          <w:color w:val="000000" w:themeColor="text1"/>
        </w:rPr>
        <w:t xml:space="preserve"> specification (agent1.dne) via a </w:t>
      </w:r>
      <w:proofErr w:type="spellStart"/>
      <w:r>
        <w:rPr>
          <w:rFonts w:ascii="Times New Roman" w:eastAsia="Times New Roman" w:hAnsi="Times New Roman" w:cs="Times New Roman"/>
          <w:color w:val="000000" w:themeColor="text1"/>
        </w:rPr>
        <w:t>Netica</w:t>
      </w:r>
      <w:proofErr w:type="spellEnd"/>
      <w:r>
        <w:rPr>
          <w:rFonts w:ascii="Times New Roman" w:eastAsia="Times New Roman" w:hAnsi="Times New Roman" w:cs="Times New Roman"/>
          <w:color w:val="000000" w:themeColor="text1"/>
        </w:rPr>
        <w:t xml:space="preserve"> file parser. For Domain17, we procedurally generate the specification from a fixed random seed (see §3.7.5).</w:t>
      </w:r>
      <w:r>
        <w:rPr>
          <w:rFonts w:ascii="Times New Roman" w:eastAsia="Times New Roman" w:hAnsi="Times New Roman" w:cs="Times New Roman"/>
          <w:color w:val="000000" w:themeColor="text1"/>
          <w:bdr w:val="none" w:sz="0" w:space="0" w:color="auto" w:frame="1"/>
          <w:shd w:val="clear" w:color="auto" w:fill="C6C6C6"/>
        </w:rPr>
        <w:t> </w:t>
      </w:r>
    </w:p>
    <w:p w14:paraId="2CEF7BE4"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Scenario pools.</w:t>
      </w:r>
      <w:r>
        <w:rPr>
          <w:rFonts w:ascii="Times New Roman" w:eastAsia="Times New Roman" w:hAnsi="Times New Roman" w:cs="Times New Roman"/>
          <w:color w:val="000000" w:themeColor="text1"/>
        </w:rPr>
        <w:t> For each network, eight hard fault scenarios are pre-sampled from a pool of 120 scenarios drawn from the network’s joint distribution. Hardness is ranked by the number of non-nominal-state nodes in the ground-truth assignment (§4.2). The pools are serialized for reproducibility.</w:t>
      </w:r>
      <w:r>
        <w:rPr>
          <w:rFonts w:ascii="Times New Roman" w:eastAsia="Times New Roman" w:hAnsi="Times New Roman" w:cs="Times New Roman"/>
          <w:color w:val="000000" w:themeColor="text1"/>
          <w:bdr w:val="none" w:sz="0" w:space="0" w:color="auto" w:frame="1"/>
          <w:shd w:val="clear" w:color="auto" w:fill="C6C6C6"/>
        </w:rPr>
        <w:t> </w:t>
      </w:r>
    </w:p>
    <w:p w14:paraId="7A70B5FD" w14:textId="77777777"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b/>
          <w:bCs/>
          <w:color w:val="000000" w:themeColor="text1"/>
        </w:rPr>
        <w:t>Cell configuration.</w:t>
      </w:r>
      <w:r>
        <w:rPr>
          <w:rFonts w:ascii="Times New Roman" w:eastAsia="Times New Roman" w:hAnsi="Times New Roman" w:cs="Times New Roman"/>
          <w:color w:val="000000" w:themeColor="text1"/>
        </w:rPr>
        <w:t> Each experimental cell specifies (network, substrate-composition axis, projection mode, threshold THD, replication count) as an input record. The runner scripts (run_conflict_instrument.py, run_dual_metric.py) enumerate cells and dispatch runs.</w:t>
      </w:r>
      <w:r>
        <w:rPr>
          <w:rFonts w:ascii="Times New Roman" w:eastAsia="Times New Roman" w:hAnsi="Times New Roman" w:cs="Times New Roman"/>
          <w:color w:val="000000" w:themeColor="text1"/>
          <w:bdr w:val="none" w:sz="0" w:space="0" w:color="auto" w:frame="1"/>
          <w:shd w:val="clear" w:color="auto" w:fill="C6C6C6"/>
        </w:rPr>
        <w:t> </w:t>
      </w:r>
    </w:p>
    <w:p w14:paraId="510294C8"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p>
    <w:p w14:paraId="6B12AFD2" w14:textId="77777777" w:rsidR="009C4D05" w:rsidRDefault="009C4D05" w:rsidP="009C4D05">
      <w:pPr>
        <w:spacing w:after="0"/>
        <w:textAlignment w:val="baseline"/>
        <w:rPr>
          <w:rFonts w:ascii="Times New Roman" w:eastAsia="Times New Roman" w:hAnsi="Times New Roman" w:cs="Times New Roman"/>
          <w:b/>
          <w:bCs/>
          <w:color w:val="000000" w:themeColor="text1"/>
          <w:bdr w:val="none" w:sz="0" w:space="0" w:color="auto" w:frame="1"/>
          <w:shd w:val="clear" w:color="auto" w:fill="C6C6C6"/>
        </w:rPr>
      </w:pPr>
      <w:r>
        <w:rPr>
          <w:rFonts w:ascii="Times New Roman" w:eastAsia="Times New Roman" w:hAnsi="Times New Roman" w:cs="Times New Roman"/>
          <w:b/>
          <w:bCs/>
          <w:color w:val="000000" w:themeColor="text1"/>
        </w:rPr>
        <w:t>3.7Submodels</w:t>
      </w:r>
      <w:r>
        <w:rPr>
          <w:rFonts w:ascii="Times New Roman" w:eastAsia="Times New Roman" w:hAnsi="Times New Roman" w:cs="Times New Roman"/>
          <w:b/>
          <w:bCs/>
          <w:color w:val="000000" w:themeColor="text1"/>
          <w:bdr w:val="none" w:sz="0" w:space="0" w:color="auto" w:frame="1"/>
          <w:shd w:val="clear" w:color="auto" w:fill="C6C6C6"/>
        </w:rPr>
        <w:t> </w:t>
      </w:r>
    </w:p>
    <w:p w14:paraId="46EFEC19" w14:textId="77777777" w:rsidR="009C4D05" w:rsidRPr="009C4D05" w:rsidRDefault="009C4D05" w:rsidP="009C4D05">
      <w:pPr>
        <w:spacing w:after="0"/>
        <w:textAlignment w:val="baseline"/>
        <w:rPr>
          <w:rFonts w:ascii="Times New Roman" w:eastAsia="Times New Roman" w:hAnsi="Times New Roman" w:cs="Times New Roman"/>
          <w:b/>
          <w:bCs/>
          <w:color w:val="000000" w:themeColor="text1"/>
        </w:rPr>
      </w:pPr>
    </w:p>
    <w:p w14:paraId="7D4148A1" w14:textId="77777777" w:rsidR="009C4D05" w:rsidRPr="009C4D05" w:rsidRDefault="009C4D05" w:rsidP="009C4D05">
      <w:pPr>
        <w:spacing w:after="0"/>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3.7.1 Inference engines</w:t>
      </w:r>
      <w:r>
        <w:rPr>
          <w:rFonts w:ascii="Times New Roman" w:eastAsia="Times New Roman" w:hAnsi="Times New Roman" w:cs="Times New Roman"/>
          <w:b/>
          <w:bCs/>
          <w:color w:val="000000" w:themeColor="text1"/>
          <w:bdr w:val="none" w:sz="0" w:space="0" w:color="auto" w:frame="1"/>
          <w:shd w:val="clear" w:color="auto" w:fill="C6C6C6"/>
        </w:rPr>
        <w:t> </w:t>
      </w:r>
    </w:p>
    <w:p w14:paraId="4C8C489D" w14:textId="77777777" w:rsidR="009C4D05" w:rsidRDefault="009C4D05" w:rsidP="009C4D05">
      <w:pPr>
        <w:spacing w:after="0"/>
        <w:textAlignment w:val="baseline"/>
        <w:rPr>
          <w:rFonts w:ascii="Times New Roman" w:eastAsia="Times New Roman" w:hAnsi="Times New Roman" w:cs="Times New Roman"/>
          <w:color w:val="000000" w:themeColor="text1"/>
        </w:rPr>
      </w:pPr>
    </w:p>
    <w:p w14:paraId="3CCAA041"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Each of the seven belief structures per agent is an inference engine implementing the interface:</w:t>
      </w:r>
      <w:r>
        <w:rPr>
          <w:rFonts w:ascii="Times New Roman" w:eastAsia="Times New Roman" w:hAnsi="Times New Roman" w:cs="Times New Roman"/>
          <w:color w:val="000000" w:themeColor="text1"/>
          <w:bdr w:val="none" w:sz="0" w:space="0" w:color="auto" w:frame="1"/>
          <w:shd w:val="clear" w:color="auto" w:fill="C6C6C6"/>
        </w:rPr>
        <w:t> </w:t>
      </w:r>
    </w:p>
    <w:p w14:paraId="4472A2B2" w14:textId="77777777" w:rsidR="00802FE9" w:rsidRDefault="009C4D05" w:rsidP="009C4D05">
      <w:pPr>
        <w:spacing w:after="0"/>
        <w:textAlignment w:val="baseline"/>
        <w:rPr>
          <w:rFonts w:ascii="Times New Roman" w:eastAsia="Times New Roman" w:hAnsi="Times New Roman" w:cs="Times New Roman"/>
          <w:color w:val="000000" w:themeColor="text1"/>
        </w:rPr>
      </w:pPr>
      <w:proofErr w:type="spellStart"/>
      <w:r>
        <w:rPr>
          <w:rFonts w:ascii="Times New Roman" w:eastAsia="Times New Roman" w:hAnsi="Times New Roman" w:cs="Times New Roman"/>
          <w:color w:val="000000" w:themeColor="text1"/>
        </w:rPr>
        <w:t>InferenceEngine</w:t>
      </w:r>
      <w:proofErr w:type="spellEnd"/>
      <w:r>
        <w:rPr>
          <w:rFonts w:ascii="Times New Roman" w:eastAsia="Times New Roman" w:hAnsi="Times New Roman" w:cs="Times New Roman"/>
          <w:color w:val="000000" w:themeColor="text1"/>
        </w:rPr>
        <w:t>:</w:t>
      </w:r>
    </w:p>
    <w:p w14:paraId="7CD872A2" w14:textId="204D6107"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br/>
        <w:t xml:space="preserve">ingest(node, </w:t>
      </w:r>
      <w:proofErr w:type="gramStart"/>
      <w:r>
        <w:rPr>
          <w:rFonts w:ascii="Times New Roman" w:eastAsia="Times New Roman" w:hAnsi="Times New Roman" w:cs="Times New Roman"/>
          <w:color w:val="000000" w:themeColor="text1"/>
        </w:rPr>
        <w:t>evidence)#</w:t>
      </w:r>
      <w:proofErr w:type="gramEnd"/>
      <w:r>
        <w:rPr>
          <w:rFonts w:ascii="Times New Roman" w:eastAsia="Times New Roman" w:hAnsi="Times New Roman" w:cs="Times New Roman"/>
          <w:color w:val="000000" w:themeColor="text1"/>
        </w:rPr>
        <w:t xml:space="preserve"> incorporate hard or soft evidence about one node</w:t>
      </w:r>
      <w:r>
        <w:rPr>
          <w:rFonts w:ascii="Times New Roman" w:eastAsia="Times New Roman" w:hAnsi="Times New Roman" w:cs="Times New Roman"/>
          <w:color w:val="000000" w:themeColor="text1"/>
        </w:rPr>
        <w:br/>
        <w:t>    posterior(node) -&gt; distribution </w:t>
      </w:r>
      <w:r>
        <w:rPr>
          <w:rFonts w:ascii="Times New Roman" w:eastAsia="Times New Roman" w:hAnsi="Times New Roman" w:cs="Times New Roman"/>
          <w:color w:val="000000" w:themeColor="text1"/>
        </w:rPr>
        <w:br/>
        <w:t>diagnosis(node, THD) -&gt; state | UNCERTAIN</w:t>
      </w:r>
      <w:r>
        <w:rPr>
          <w:rFonts w:ascii="Times New Roman" w:eastAsia="Times New Roman" w:hAnsi="Times New Roman" w:cs="Times New Roman"/>
          <w:color w:val="000000" w:themeColor="text1"/>
          <w:bdr w:val="none" w:sz="0" w:space="0" w:color="auto" w:frame="1"/>
          <w:shd w:val="clear" w:color="auto" w:fill="C6C6C6"/>
        </w:rPr>
        <w:t> </w:t>
      </w:r>
    </w:p>
    <w:p w14:paraId="16B2A73E" w14:textId="77777777" w:rsidR="00802FE9" w:rsidRPr="009C4D05" w:rsidRDefault="00802FE9" w:rsidP="009C4D05">
      <w:pPr>
        <w:spacing w:after="0"/>
        <w:textAlignment w:val="baseline"/>
        <w:rPr>
          <w:rFonts w:ascii="Times New Roman" w:eastAsia="Times New Roman" w:hAnsi="Times New Roman" w:cs="Times New Roman"/>
          <w:color w:val="000000" w:themeColor="text1"/>
        </w:rPr>
      </w:pPr>
    </w:p>
    <w:p w14:paraId="5EC6A8B3" w14:textId="77777777"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lastRenderedPageBreak/>
        <w:t>The interface uses two conventions inherited directly from Okabe et al. (2025). THD (threshold) is a scalar between 0 and 1 that controls how confidently an agent must believe in a state before it commits to a categorical diagnosis: if the highest-probability state of a node has posterior probability at least THD, diagnosis returns that state; </w:t>
      </w:r>
      <w:proofErr w:type="gramStart"/>
      <w:r>
        <w:rPr>
          <w:rFonts w:ascii="Times New Roman" w:eastAsia="Times New Roman" w:hAnsi="Times New Roman" w:cs="Times New Roman"/>
          <w:color w:val="000000" w:themeColor="text1"/>
        </w:rPr>
        <w:t>otherwise</w:t>
      </w:r>
      <w:proofErr w:type="gramEnd"/>
      <w:r>
        <w:rPr>
          <w:rFonts w:ascii="Times New Roman" w:eastAsia="Times New Roman" w:hAnsi="Times New Roman" w:cs="Times New Roman"/>
          <w:color w:val="000000" w:themeColor="text1"/>
        </w:rPr>
        <w:t> it returns the sentinel value UNCERTAIN, indicating the agent is deferring judgment. This threshold-plus-abstention scheme is what makes cooperation informative — agents that are UNCERTAIN about a node have a reason to observe or query it, and the metacognitive conflict detection of §3.7.3 treats UNCERTAIN-vs-committed disagreements as conflicts requiring resolution. Higher THD values produce more UNCERTAIN diagnoses; lower THD values produce more commitments. Okabe et al. (2025) study THD values of 0.75, 0.80, and 0.85; §4.2 explains our choice of THD = 0.55 and the substantive interpretation of that departure.</w:t>
      </w:r>
      <w:r>
        <w:rPr>
          <w:rFonts w:ascii="Times New Roman" w:eastAsia="Times New Roman" w:hAnsi="Times New Roman" w:cs="Times New Roman"/>
          <w:color w:val="000000" w:themeColor="text1"/>
          <w:bdr w:val="none" w:sz="0" w:space="0" w:color="auto" w:frame="1"/>
          <w:shd w:val="clear" w:color="auto" w:fill="C6C6C6"/>
        </w:rPr>
        <w:t> </w:t>
      </w:r>
    </w:p>
    <w:p w14:paraId="0642B731" w14:textId="77777777" w:rsidR="00802FE9" w:rsidRPr="009C4D05" w:rsidRDefault="00802FE9" w:rsidP="009C4D05">
      <w:pPr>
        <w:spacing w:after="0"/>
        <w:textAlignment w:val="baseline"/>
        <w:rPr>
          <w:rFonts w:ascii="Times New Roman" w:eastAsia="Times New Roman" w:hAnsi="Times New Roman" w:cs="Times New Roman"/>
          <w:color w:val="000000" w:themeColor="text1"/>
        </w:rPr>
      </w:pPr>
    </w:p>
    <w:p w14:paraId="487A9650"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noProof/>
          <w:color w:val="000000" w:themeColor="text1"/>
        </w:rPr>
        <w:drawing>
          <wp:inline distT="0" distB="0" distL="0" distR="0" wp14:anchorId="73100A0F" wp14:editId="1778BF49">
            <wp:extent cx="5334000" cy="1993900"/>
            <wp:effectExtent l="0" t="0" r="0" b="0"/>
            <wp:docPr id="645378575" name="Picture 11" descr="Figure 1. Three inference substrates instantiated from a shared causal spec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 Three inference substrates instantiated from a shared causal specifica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34000" cy="1993900"/>
                    </a:xfrm>
                    <a:prstGeom prst="rect">
                      <a:avLst/>
                    </a:prstGeom>
                    <a:noFill/>
                    <a:ln>
                      <a:noFill/>
                    </a:ln>
                  </pic:spPr>
                </pic:pic>
              </a:graphicData>
            </a:graphic>
          </wp:inline>
        </w:drawing>
      </w:r>
      <w:r>
        <w:rPr>
          <w:rFonts w:ascii="Times New Roman" w:eastAsia="Times New Roman" w:hAnsi="Times New Roman" w:cs="Times New Roman"/>
          <w:color w:val="000000" w:themeColor="text1"/>
          <w:bdr w:val="none" w:sz="0" w:space="0" w:color="auto" w:frame="1"/>
          <w:shd w:val="clear" w:color="auto" w:fill="C6C6C6"/>
        </w:rPr>
        <w:t> </w:t>
      </w:r>
    </w:p>
    <w:p w14:paraId="21E547CB" w14:textId="77777777" w:rsidR="009C4D05" w:rsidRPr="009C4D05" w:rsidRDefault="009C4D05" w:rsidP="009C4D05">
      <w:pPr>
        <w:spacing w:after="0"/>
        <w:textAlignment w:val="baseline"/>
        <w:rPr>
          <w:rFonts w:ascii="Times New Roman" w:eastAsia="Times New Roman" w:hAnsi="Times New Roman" w:cs="Times New Roman"/>
          <w:i/>
          <w:iCs/>
          <w:color w:val="000000" w:themeColor="text1"/>
        </w:rPr>
      </w:pPr>
      <w:r>
        <w:rPr>
          <w:rFonts w:ascii="Times New Roman" w:eastAsia="Times New Roman" w:hAnsi="Times New Roman" w:cs="Times New Roman"/>
          <w:i/>
          <w:iCs/>
          <w:color w:val="000000" w:themeColor="text1"/>
        </w:rPr>
        <w:t>Figure 1. Three inference substrates instantiated from a shared causal specification.</w:t>
      </w:r>
      <w:r>
        <w:rPr>
          <w:rFonts w:ascii="Times New Roman" w:eastAsia="Times New Roman" w:hAnsi="Times New Roman" w:cs="Times New Roman"/>
          <w:i/>
          <w:iCs/>
          <w:color w:val="000000" w:themeColor="text1"/>
          <w:bdr w:val="none" w:sz="0" w:space="0" w:color="auto" w:frame="1"/>
          <w:shd w:val="clear" w:color="auto" w:fill="C6C6C6"/>
        </w:rPr>
        <w:t> </w:t>
      </w:r>
    </w:p>
    <w:p w14:paraId="73FFEA38" w14:textId="77777777" w:rsidR="00802FE9" w:rsidRDefault="00802FE9" w:rsidP="009C4D05">
      <w:pPr>
        <w:spacing w:after="0"/>
        <w:textAlignment w:val="baseline"/>
        <w:rPr>
          <w:rFonts w:ascii="Times New Roman" w:eastAsia="Times New Roman" w:hAnsi="Times New Roman" w:cs="Times New Roman"/>
          <w:color w:val="000000" w:themeColor="text1"/>
        </w:rPr>
      </w:pPr>
    </w:p>
    <w:p w14:paraId="3BC95E61" w14:textId="77777777" w:rsidR="00802FE9" w:rsidRDefault="00802FE9" w:rsidP="00802FE9">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t>We implement three engines, as shown in Figure 1, from a single shared causal specification (node states, edges, conditional probability tables):</w:t>
      </w:r>
      <w:r>
        <w:rPr>
          <w:rFonts w:ascii="Times New Roman" w:eastAsia="Times New Roman" w:hAnsi="Times New Roman" w:cs="Times New Roman"/>
          <w:color w:val="000000" w:themeColor="text1"/>
          <w:bdr w:val="none" w:sz="0" w:space="0" w:color="auto" w:frame="1"/>
          <w:shd w:val="clear" w:color="auto" w:fill="C6C6C6"/>
        </w:rPr>
        <w:t> </w:t>
      </w:r>
    </w:p>
    <w:p w14:paraId="373688C7" w14:textId="77777777" w:rsidR="00802FE9" w:rsidRDefault="00802FE9" w:rsidP="009C4D05">
      <w:pPr>
        <w:spacing w:after="0"/>
        <w:textAlignment w:val="baseline"/>
        <w:rPr>
          <w:rFonts w:ascii="Times New Roman" w:eastAsia="Times New Roman" w:hAnsi="Times New Roman" w:cs="Times New Roman"/>
          <w:color w:val="000000" w:themeColor="text1"/>
        </w:rPr>
      </w:pPr>
    </w:p>
    <w:p w14:paraId="422A1674" w14:textId="77777777"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b/>
          <w:bCs/>
          <w:color w:val="000000" w:themeColor="text1"/>
        </w:rPr>
        <w:t>BBN.</w:t>
      </w:r>
      <w:r>
        <w:rPr>
          <w:rFonts w:ascii="Times New Roman" w:eastAsia="Times New Roman" w:hAnsi="Times New Roman" w:cs="Times New Roman"/>
          <w:color w:val="000000" w:themeColor="text1"/>
        </w:rPr>
        <w:t> Exact belief propagation over the causal DAG. Native soft evidence, graded posteriors. This is the EMBM baseline substrate.</w:t>
      </w:r>
      <w:r>
        <w:rPr>
          <w:rFonts w:ascii="Times New Roman" w:eastAsia="Times New Roman" w:hAnsi="Times New Roman" w:cs="Times New Roman"/>
          <w:color w:val="000000" w:themeColor="text1"/>
          <w:bdr w:val="none" w:sz="0" w:space="0" w:color="auto" w:frame="1"/>
          <w:shd w:val="clear" w:color="auto" w:fill="C6C6C6"/>
        </w:rPr>
        <w:t> </w:t>
      </w:r>
    </w:p>
    <w:p w14:paraId="63AC4A03" w14:textId="77777777" w:rsidR="00802FE9" w:rsidRPr="009C4D05" w:rsidRDefault="00802FE9" w:rsidP="009C4D05">
      <w:pPr>
        <w:spacing w:after="0"/>
        <w:textAlignment w:val="baseline"/>
        <w:rPr>
          <w:rFonts w:ascii="Times New Roman" w:eastAsia="Times New Roman" w:hAnsi="Times New Roman" w:cs="Times New Roman"/>
          <w:color w:val="000000" w:themeColor="text1"/>
        </w:rPr>
      </w:pPr>
    </w:p>
    <w:p w14:paraId="63A0482E" w14:textId="3A9FCD10"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Markov.</w:t>
      </w:r>
      <w:r w:rsidR="00B53439">
        <w:rPr>
          <w:rFonts w:ascii="Times New Roman" w:eastAsia="Times New Roman" w:hAnsi="Times New Roman" w:cs="Times New Roman"/>
          <w:b/>
          <w:bCs/>
          <w:color w:val="000000" w:themeColor="text1"/>
        </w:rPr>
        <w:t xml:space="preserve"> </w:t>
      </w:r>
      <w:r>
        <w:rPr>
          <w:rFonts w:ascii="Times New Roman" w:eastAsia="Times New Roman" w:hAnsi="Times New Roman" w:cs="Times New Roman"/>
          <w:color w:val="000000" w:themeColor="text1"/>
        </w:rPr>
        <w:t xml:space="preserve">A hidden-Markov-style probabilistic chain derived from the same DAG by linearizing it into a causal ordering and deriving transition/emission matrices from the </w:t>
      </w:r>
      <w:proofErr w:type="spellStart"/>
      <w:r>
        <w:rPr>
          <w:rFonts w:ascii="Times New Roman" w:eastAsia="Times New Roman" w:hAnsi="Times New Roman" w:cs="Times New Roman"/>
          <w:color w:val="000000" w:themeColor="text1"/>
        </w:rPr>
        <w:t>CPTs.</w:t>
      </w:r>
      <w:proofErr w:type="spellEnd"/>
      <w:r>
        <w:rPr>
          <w:rFonts w:ascii="Times New Roman" w:eastAsia="Times New Roman" w:hAnsi="Times New Roman" w:cs="Times New Roman"/>
          <w:color w:val="000000" w:themeColor="text1"/>
        </w:rPr>
        <w:t xml:space="preserve"> Graded posteriors, native soft evidence. The approximation lies in the causal chain assumption: dependencies not captured by the chain are lost. This is an inferential loss — the machinery is probabilistic but weaker.</w:t>
      </w:r>
      <w:r>
        <w:rPr>
          <w:rFonts w:ascii="Times New Roman" w:eastAsia="Times New Roman" w:hAnsi="Times New Roman" w:cs="Times New Roman"/>
          <w:color w:val="000000" w:themeColor="text1"/>
          <w:bdr w:val="none" w:sz="0" w:space="0" w:color="auto" w:frame="1"/>
          <w:shd w:val="clear" w:color="auto" w:fill="C6C6C6"/>
        </w:rPr>
        <w:t> </w:t>
      </w:r>
    </w:p>
    <w:p w14:paraId="16FDE68E" w14:textId="77777777" w:rsidR="00802FE9" w:rsidRDefault="00802FE9" w:rsidP="009C4D05">
      <w:pPr>
        <w:spacing w:after="0"/>
        <w:textAlignment w:val="baseline"/>
        <w:rPr>
          <w:rFonts w:ascii="Times New Roman" w:eastAsia="Times New Roman" w:hAnsi="Times New Roman" w:cs="Times New Roman"/>
          <w:b/>
          <w:bCs/>
          <w:color w:val="000000" w:themeColor="text1"/>
        </w:rPr>
      </w:pPr>
    </w:p>
    <w:p w14:paraId="258280E5" w14:textId="1F8AAA58"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b/>
          <w:bCs/>
          <w:color w:val="000000" w:themeColor="text1"/>
        </w:rPr>
        <w:t>Tree.</w:t>
      </w:r>
      <w:r w:rsidR="00B53439">
        <w:rPr>
          <w:rFonts w:ascii="Times New Roman" w:eastAsia="Times New Roman" w:hAnsi="Times New Roman" w:cs="Times New Roman"/>
          <w:b/>
          <w:bCs/>
          <w:color w:val="000000" w:themeColor="text1"/>
        </w:rPr>
        <w:t xml:space="preserve"> </w:t>
      </w:r>
      <w:r>
        <w:rPr>
          <w:rFonts w:ascii="Times New Roman" w:eastAsia="Times New Roman" w:hAnsi="Times New Roman" w:cs="Times New Roman"/>
          <w:color w:val="000000" w:themeColor="text1"/>
        </w:rPr>
        <w:t xml:space="preserve">A decision-tree structure compiled from the </w:t>
      </w:r>
      <w:proofErr w:type="spellStart"/>
      <w:r>
        <w:rPr>
          <w:rFonts w:ascii="Times New Roman" w:eastAsia="Times New Roman" w:hAnsi="Times New Roman" w:cs="Times New Roman"/>
          <w:color w:val="000000" w:themeColor="text1"/>
        </w:rPr>
        <w:t>CPTs.</w:t>
      </w:r>
      <w:proofErr w:type="spellEnd"/>
      <w:r>
        <w:rPr>
          <w:rFonts w:ascii="Times New Roman" w:eastAsia="Times New Roman" w:hAnsi="Times New Roman" w:cs="Times New Roman"/>
          <w:color w:val="000000" w:themeColor="text1"/>
        </w:rPr>
        <w:t xml:space="preserve"> Leaf probabilities serve as pseudo-posteriors so that the threshold operator and soft-evidence ingesting remain meaningful, but the underlying computation has no bidirectional causal inference: it can only infer designated target nodes from designated feature nodes. This is a representational loss as the substrate cannot represent full joint uncertainty.</w:t>
      </w:r>
      <w:r>
        <w:rPr>
          <w:rFonts w:ascii="Times New Roman" w:eastAsia="Times New Roman" w:hAnsi="Times New Roman" w:cs="Times New Roman"/>
          <w:color w:val="000000" w:themeColor="text1"/>
          <w:bdr w:val="none" w:sz="0" w:space="0" w:color="auto" w:frame="1"/>
          <w:shd w:val="clear" w:color="auto" w:fill="C6C6C6"/>
        </w:rPr>
        <w:t> </w:t>
      </w:r>
    </w:p>
    <w:p w14:paraId="1A97AA95" w14:textId="77777777" w:rsidR="00802FE9" w:rsidRPr="009C4D05" w:rsidRDefault="00802FE9" w:rsidP="009C4D05">
      <w:pPr>
        <w:spacing w:after="0"/>
        <w:textAlignment w:val="baseline"/>
        <w:rPr>
          <w:rFonts w:ascii="Times New Roman" w:eastAsia="Times New Roman" w:hAnsi="Times New Roman" w:cs="Times New Roman"/>
          <w:color w:val="000000" w:themeColor="text1"/>
        </w:rPr>
      </w:pPr>
    </w:p>
    <w:p w14:paraId="4777E45B" w14:textId="77777777" w:rsidR="00802FE9"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All three engines are hand-specified from the same causal graph, not learned. </w:t>
      </w:r>
    </w:p>
    <w:p w14:paraId="5D8042CF" w14:textId="77777777"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t>This eliminates training-noise confounds and allows us to attribute any inter-engine differences to substrate structure rather than data quality.</w:t>
      </w:r>
      <w:r>
        <w:rPr>
          <w:rFonts w:ascii="Times New Roman" w:eastAsia="Times New Roman" w:hAnsi="Times New Roman" w:cs="Times New Roman"/>
          <w:color w:val="000000" w:themeColor="text1"/>
          <w:bdr w:val="none" w:sz="0" w:space="0" w:color="auto" w:frame="1"/>
          <w:shd w:val="clear" w:color="auto" w:fill="C6C6C6"/>
        </w:rPr>
        <w:t> </w:t>
      </w:r>
    </w:p>
    <w:p w14:paraId="1C8FF18B" w14:textId="77777777" w:rsidR="00802FE9" w:rsidRPr="009C4D05" w:rsidRDefault="00802FE9" w:rsidP="009C4D05">
      <w:pPr>
        <w:spacing w:after="0"/>
        <w:textAlignment w:val="baseline"/>
        <w:rPr>
          <w:rFonts w:ascii="Times New Roman" w:eastAsia="Times New Roman" w:hAnsi="Times New Roman" w:cs="Times New Roman"/>
          <w:color w:val="000000" w:themeColor="text1"/>
        </w:rPr>
      </w:pPr>
    </w:p>
    <w:p w14:paraId="59321C04" w14:textId="77777777" w:rsidR="009C4D05" w:rsidRDefault="009C4D05" w:rsidP="009C4D05">
      <w:pPr>
        <w:spacing w:after="0"/>
        <w:textAlignment w:val="baseline"/>
        <w:rPr>
          <w:rFonts w:ascii="Times New Roman" w:eastAsia="Times New Roman" w:hAnsi="Times New Roman" w:cs="Times New Roman"/>
          <w:b/>
          <w:bCs/>
          <w:color w:val="000000" w:themeColor="text1"/>
          <w:bdr w:val="none" w:sz="0" w:space="0" w:color="auto" w:frame="1"/>
          <w:shd w:val="clear" w:color="auto" w:fill="C6C6C6"/>
        </w:rPr>
      </w:pPr>
      <w:r>
        <w:rPr>
          <w:rFonts w:ascii="Times New Roman" w:eastAsia="Times New Roman" w:hAnsi="Times New Roman" w:cs="Times New Roman"/>
          <w:b/>
          <w:bCs/>
          <w:color w:val="000000" w:themeColor="text1"/>
        </w:rPr>
        <w:t>3.7.2 Aware and naive projection</w:t>
      </w:r>
      <w:r>
        <w:rPr>
          <w:rFonts w:ascii="Times New Roman" w:eastAsia="Times New Roman" w:hAnsi="Times New Roman" w:cs="Times New Roman"/>
          <w:b/>
          <w:bCs/>
          <w:color w:val="000000" w:themeColor="text1"/>
          <w:bdr w:val="none" w:sz="0" w:space="0" w:color="auto" w:frame="1"/>
          <w:shd w:val="clear" w:color="auto" w:fill="C6C6C6"/>
        </w:rPr>
        <w:t> </w:t>
      </w:r>
    </w:p>
    <w:p w14:paraId="726999F8" w14:textId="77777777" w:rsidR="00802FE9" w:rsidRPr="009C4D05" w:rsidRDefault="00802FE9" w:rsidP="009C4D05">
      <w:pPr>
        <w:spacing w:after="0"/>
        <w:textAlignment w:val="baseline"/>
        <w:rPr>
          <w:rFonts w:ascii="Times New Roman" w:eastAsia="Times New Roman" w:hAnsi="Times New Roman" w:cs="Times New Roman"/>
          <w:b/>
          <w:bCs/>
          <w:color w:val="000000" w:themeColor="text1"/>
        </w:rPr>
      </w:pPr>
    </w:p>
    <w:p w14:paraId="5844BB19"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The projection question arises whenever agent A holds a belief about how teammate B represents a node. In the original EMBM, this projected belief is simply another BBN — because everything in the model is a BBN. Once substrates are heterogeneous, projection becomes a design choice.</w:t>
      </w:r>
      <w:r>
        <w:rPr>
          <w:rFonts w:ascii="Times New Roman" w:eastAsia="Times New Roman" w:hAnsi="Times New Roman" w:cs="Times New Roman"/>
          <w:color w:val="000000" w:themeColor="text1"/>
          <w:bdr w:val="none" w:sz="0" w:space="0" w:color="auto" w:frame="1"/>
          <w:shd w:val="clear" w:color="auto" w:fill="C6C6C6"/>
        </w:rPr>
        <w:t> </w:t>
      </w:r>
    </w:p>
    <w:p w14:paraId="5FCA9F99" w14:textId="41780132"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Under aware projection, A instantiates each engine that </w:t>
      </w:r>
      <w:proofErr w:type="gramStart"/>
      <w:r>
        <w:rPr>
          <w:rFonts w:ascii="Times New Roman" w:eastAsia="Times New Roman" w:hAnsi="Times New Roman" w:cs="Times New Roman"/>
          <w:color w:val="000000" w:themeColor="text1"/>
        </w:rPr>
        <w:t>models</w:t>
      </w:r>
      <w:proofErr w:type="gramEnd"/>
      <w:r>
        <w:rPr>
          <w:rFonts w:ascii="Times New Roman" w:eastAsia="Times New Roman" w:hAnsi="Times New Roman" w:cs="Times New Roman"/>
          <w:color w:val="000000" w:themeColor="text1"/>
        </w:rPr>
        <w:t xml:space="preserve"> teammate B (whether the direct model of B or the projected model of what B thinks about C) using B’s actual substrate kind. If B runs Markov, A’s model of B is Markov.</w:t>
      </w:r>
      <w:r>
        <w:rPr>
          <w:rFonts w:ascii="Times New Roman" w:eastAsia="Times New Roman" w:hAnsi="Times New Roman" w:cs="Times New Roman"/>
          <w:color w:val="000000" w:themeColor="text1"/>
          <w:bdr w:val="none" w:sz="0" w:space="0" w:color="auto" w:frame="1"/>
          <w:shd w:val="clear" w:color="auto" w:fill="C6C6C6"/>
        </w:rPr>
        <w:t> </w:t>
      </w:r>
    </w:p>
    <w:p w14:paraId="7B599189"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Under naive projection, A instantiates each such engine using A’s own substrate kind. If B runs Markov but A runs BBN, A’s model of B is BBN — implicitly assuming B computes as A does.</w:t>
      </w:r>
      <w:r>
        <w:rPr>
          <w:rFonts w:ascii="Times New Roman" w:eastAsia="Times New Roman" w:hAnsi="Times New Roman" w:cs="Times New Roman"/>
          <w:color w:val="000000" w:themeColor="text1"/>
          <w:bdr w:val="none" w:sz="0" w:space="0" w:color="auto" w:frame="1"/>
          <w:shd w:val="clear" w:color="auto" w:fill="C6C6C6"/>
        </w:rPr>
        <w:t> </w:t>
      </w:r>
    </w:p>
    <w:p w14:paraId="3631369F" w14:textId="77777777"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t>Under matched compositions (all three agents run the same substrate), aware and naive projection produce identical instantiations. This is a specificity check we return to in the results.</w:t>
      </w:r>
      <w:r>
        <w:rPr>
          <w:rFonts w:ascii="Times New Roman" w:eastAsia="Times New Roman" w:hAnsi="Times New Roman" w:cs="Times New Roman"/>
          <w:color w:val="000000" w:themeColor="text1"/>
          <w:bdr w:val="none" w:sz="0" w:space="0" w:color="auto" w:frame="1"/>
          <w:shd w:val="clear" w:color="auto" w:fill="C6C6C6"/>
        </w:rPr>
        <w:t> </w:t>
      </w:r>
    </w:p>
    <w:p w14:paraId="1909435D" w14:textId="77777777" w:rsidR="00802FE9" w:rsidRPr="009C4D05" w:rsidRDefault="00802FE9" w:rsidP="009C4D05">
      <w:pPr>
        <w:spacing w:after="0"/>
        <w:textAlignment w:val="baseline"/>
        <w:rPr>
          <w:rFonts w:ascii="Times New Roman" w:eastAsia="Times New Roman" w:hAnsi="Times New Roman" w:cs="Times New Roman"/>
          <w:color w:val="000000" w:themeColor="text1"/>
        </w:rPr>
      </w:pPr>
    </w:p>
    <w:p w14:paraId="1369F2D9"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noProof/>
          <w:color w:val="000000" w:themeColor="text1"/>
        </w:rPr>
        <w:drawing>
          <wp:inline distT="0" distB="0" distL="0" distR="0" wp14:anchorId="495EC900" wp14:editId="53DE919F">
            <wp:extent cx="5334000" cy="2336800"/>
            <wp:effectExtent l="0" t="0" r="0" b="0"/>
            <wp:docPr id="955696807" name="Picture 10" descr="Figure 2. Which substrate populates each of the seven EMBM belief structures under aware versus naive projection. Under aware projection, each teammate model uses the target’s true substrate; under naive projection, every teammate model uses the owner’s substrate, making substrate heterogeneity structurally in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e 2. Which substrate populates each of the seven EMBM belief structures under aware versus naive projection. Under aware projection, each teammate model uses the target’s true substrate; under naive projection, every teammate model uses the owner’s substrate, making substrate heterogeneity structurally invisib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4000" cy="2336800"/>
                    </a:xfrm>
                    <a:prstGeom prst="rect">
                      <a:avLst/>
                    </a:prstGeom>
                    <a:noFill/>
                    <a:ln>
                      <a:noFill/>
                    </a:ln>
                  </pic:spPr>
                </pic:pic>
              </a:graphicData>
            </a:graphic>
          </wp:inline>
        </w:drawing>
      </w:r>
      <w:r>
        <w:rPr>
          <w:rFonts w:ascii="Times New Roman" w:eastAsia="Times New Roman" w:hAnsi="Times New Roman" w:cs="Times New Roman"/>
          <w:color w:val="000000" w:themeColor="text1"/>
          <w:bdr w:val="none" w:sz="0" w:space="0" w:color="auto" w:frame="1"/>
          <w:shd w:val="clear" w:color="auto" w:fill="C6C6C6"/>
        </w:rPr>
        <w:t> </w:t>
      </w:r>
    </w:p>
    <w:p w14:paraId="62961AD0" w14:textId="77777777" w:rsidR="009C4D05" w:rsidRPr="009C4D05" w:rsidRDefault="009C4D05" w:rsidP="009C4D05">
      <w:pPr>
        <w:spacing w:after="0"/>
        <w:textAlignment w:val="baseline"/>
        <w:rPr>
          <w:rFonts w:ascii="Times New Roman" w:eastAsia="Times New Roman" w:hAnsi="Times New Roman" w:cs="Times New Roman"/>
          <w:i/>
          <w:iCs/>
          <w:color w:val="000000" w:themeColor="text1"/>
        </w:rPr>
      </w:pPr>
      <w:r>
        <w:rPr>
          <w:rFonts w:ascii="Times New Roman" w:eastAsia="Times New Roman" w:hAnsi="Times New Roman" w:cs="Times New Roman"/>
          <w:i/>
          <w:iCs/>
          <w:color w:val="000000" w:themeColor="text1"/>
        </w:rPr>
        <w:t>Figure 2. Which substrate populates each of the seven EMBM belief structures under aware versus naive projection. Under aware projection, each teammate model uses the target’s true substrate; under naive projection, every teammate model uses the owner’s substrate, making substrate heterogeneity structurally invisible.</w:t>
      </w:r>
      <w:r>
        <w:rPr>
          <w:rFonts w:ascii="Times New Roman" w:eastAsia="Times New Roman" w:hAnsi="Times New Roman" w:cs="Times New Roman"/>
          <w:i/>
          <w:iCs/>
          <w:color w:val="000000" w:themeColor="text1"/>
          <w:bdr w:val="none" w:sz="0" w:space="0" w:color="auto" w:frame="1"/>
          <w:shd w:val="clear" w:color="auto" w:fill="C6C6C6"/>
        </w:rPr>
        <w:t> </w:t>
      </w:r>
    </w:p>
    <w:p w14:paraId="338F8F4E" w14:textId="77777777" w:rsidR="00802FE9" w:rsidRDefault="00802FE9" w:rsidP="009C4D05">
      <w:pPr>
        <w:spacing w:after="0"/>
        <w:textAlignment w:val="baseline"/>
        <w:rPr>
          <w:rFonts w:ascii="Times New Roman" w:eastAsia="Times New Roman" w:hAnsi="Times New Roman" w:cs="Times New Roman"/>
          <w:b/>
          <w:bCs/>
          <w:color w:val="000000" w:themeColor="text1"/>
        </w:rPr>
      </w:pPr>
    </w:p>
    <w:p w14:paraId="257972D6" w14:textId="77777777" w:rsidR="009C4D05" w:rsidRPr="009C4D05" w:rsidRDefault="009C4D05" w:rsidP="009C4D05">
      <w:pPr>
        <w:spacing w:after="0"/>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3.7.3 Metacognitive conflict detection</w:t>
      </w:r>
      <w:r>
        <w:rPr>
          <w:rFonts w:ascii="Times New Roman" w:eastAsia="Times New Roman" w:hAnsi="Times New Roman" w:cs="Times New Roman"/>
          <w:b/>
          <w:bCs/>
          <w:color w:val="000000" w:themeColor="text1"/>
          <w:bdr w:val="none" w:sz="0" w:space="0" w:color="auto" w:frame="1"/>
          <w:shd w:val="clear" w:color="auto" w:fill="C6C6C6"/>
        </w:rPr>
        <w:t> </w:t>
      </w:r>
    </w:p>
    <w:p w14:paraId="3F374ADE"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Following EMBM, at any point during a run each agent A can detect three types of conflict per (node, teammate) pair:</w:t>
      </w:r>
      <w:r>
        <w:rPr>
          <w:rFonts w:ascii="Times New Roman" w:eastAsia="Times New Roman" w:hAnsi="Times New Roman" w:cs="Times New Roman"/>
          <w:color w:val="000000" w:themeColor="text1"/>
          <w:bdr w:val="none" w:sz="0" w:space="0" w:color="auto" w:frame="1"/>
          <w:shd w:val="clear" w:color="auto" w:fill="C6C6C6"/>
        </w:rPr>
        <w:t> </w:t>
      </w:r>
    </w:p>
    <w:p w14:paraId="473FF94B" w14:textId="77777777" w:rsidR="009C4D05" w:rsidRPr="00802FE9" w:rsidRDefault="009C4D05" w:rsidP="00802FE9">
      <w:pPr>
        <w:pStyle w:val="ListParagraph"/>
        <w:numPr>
          <w:ilvl w:val="0"/>
          <w:numId w:val="11"/>
        </w:num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Type I: A’s own diagnosis of the node differs from A’s direct model of teammate B’s diagnosis.</w:t>
      </w:r>
      <w:r>
        <w:rPr>
          <w:rFonts w:ascii="Times New Roman" w:eastAsia="Times New Roman" w:hAnsi="Times New Roman" w:cs="Times New Roman"/>
          <w:color w:val="000000" w:themeColor="text1"/>
          <w:bdr w:val="none" w:sz="0" w:space="0" w:color="auto" w:frame="1"/>
          <w:shd w:val="clear" w:color="auto" w:fill="C6C6C6"/>
        </w:rPr>
        <w:t> </w:t>
      </w:r>
    </w:p>
    <w:p w14:paraId="7C4B997E" w14:textId="77777777" w:rsidR="009C4D05" w:rsidRPr="00802FE9" w:rsidRDefault="009C4D05" w:rsidP="00802FE9">
      <w:pPr>
        <w:pStyle w:val="ListParagraph"/>
        <w:numPr>
          <w:ilvl w:val="0"/>
          <w:numId w:val="11"/>
        </w:num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Type II: A’s own diagnosis differs from A’s model of B’s model of A.</w:t>
      </w:r>
      <w:r>
        <w:rPr>
          <w:rFonts w:ascii="Times New Roman" w:eastAsia="Times New Roman" w:hAnsi="Times New Roman" w:cs="Times New Roman"/>
          <w:color w:val="000000" w:themeColor="text1"/>
          <w:bdr w:val="none" w:sz="0" w:space="0" w:color="auto" w:frame="1"/>
          <w:shd w:val="clear" w:color="auto" w:fill="C6C6C6"/>
        </w:rPr>
        <w:t> </w:t>
      </w:r>
    </w:p>
    <w:p w14:paraId="7B4C8283" w14:textId="77777777" w:rsidR="009C4D05" w:rsidRPr="00802FE9" w:rsidRDefault="009C4D05" w:rsidP="00802FE9">
      <w:pPr>
        <w:pStyle w:val="ListParagraph"/>
        <w:numPr>
          <w:ilvl w:val="0"/>
          <w:numId w:val="11"/>
        </w:num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Type III: A’s own diagnosis differs from A’s model of B’s model of the third teammate C.</w:t>
      </w:r>
      <w:r>
        <w:rPr>
          <w:rFonts w:ascii="Times New Roman" w:eastAsia="Times New Roman" w:hAnsi="Times New Roman" w:cs="Times New Roman"/>
          <w:color w:val="000000" w:themeColor="text1"/>
          <w:bdr w:val="none" w:sz="0" w:space="0" w:color="auto" w:frame="1"/>
          <w:shd w:val="clear" w:color="auto" w:fill="C6C6C6"/>
        </w:rPr>
        <w:t> </w:t>
      </w:r>
    </w:p>
    <w:p w14:paraId="4137D2A7"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conflict fires whenever the two compared diagnoses either commit to different states or one commits while the other is UNCERTAIN (following the EMBM convention that information gaps are also conflicts to be resolved). The action-selection procedure picks the highest-importance detected conflict and calls the resolution logic described in §3.3.</w:t>
      </w:r>
      <w:r>
        <w:rPr>
          <w:rFonts w:ascii="Times New Roman" w:eastAsia="Times New Roman" w:hAnsi="Times New Roman" w:cs="Times New Roman"/>
          <w:color w:val="000000" w:themeColor="text1"/>
          <w:bdr w:val="none" w:sz="0" w:space="0" w:color="auto" w:frame="1"/>
          <w:shd w:val="clear" w:color="auto" w:fill="C6C6C6"/>
        </w:rPr>
        <w:t> </w:t>
      </w:r>
    </w:p>
    <w:p w14:paraId="15991C46"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noProof/>
          <w:color w:val="000000" w:themeColor="text1"/>
        </w:rPr>
        <w:lastRenderedPageBreak/>
        <w:drawing>
          <wp:inline distT="0" distB="0" distL="0" distR="0" wp14:anchorId="5451DFE3" wp14:editId="1271860B">
            <wp:extent cx="5334000" cy="2082800"/>
            <wp:effectExtent l="0" t="0" r="0" b="0"/>
            <wp:docPr id="1736182073" name="Picture 9" descr="Figure 3. The three conflict types EMBM agents monitor at every step. Type I compares the agent’s own L1 belief against its direct model of a teammate; Types II and III compare L1 against projected beliefs about what the teammate believes about the agent and about the third teammate, respective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3. The three conflict types EMBM agents monitor at every step. Type I compares the agent’s own L1 belief against its direct model of a teammate; Types II and III compare L1 against projected beliefs about what the teammate believes about the agent and about the third teammate, respectivel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4000" cy="2082800"/>
                    </a:xfrm>
                    <a:prstGeom prst="rect">
                      <a:avLst/>
                    </a:prstGeom>
                    <a:noFill/>
                    <a:ln>
                      <a:noFill/>
                    </a:ln>
                  </pic:spPr>
                </pic:pic>
              </a:graphicData>
            </a:graphic>
          </wp:inline>
        </w:drawing>
      </w:r>
      <w:r>
        <w:rPr>
          <w:rFonts w:ascii="Times New Roman" w:eastAsia="Times New Roman" w:hAnsi="Times New Roman" w:cs="Times New Roman"/>
          <w:color w:val="000000" w:themeColor="text1"/>
          <w:bdr w:val="none" w:sz="0" w:space="0" w:color="auto" w:frame="1"/>
          <w:shd w:val="clear" w:color="auto" w:fill="C6C6C6"/>
        </w:rPr>
        <w:t> </w:t>
      </w:r>
    </w:p>
    <w:p w14:paraId="2DDE6779" w14:textId="77777777" w:rsidR="009C4D05" w:rsidRDefault="009C4D05" w:rsidP="009C4D05">
      <w:pPr>
        <w:spacing w:after="0"/>
        <w:textAlignment w:val="baseline"/>
        <w:rPr>
          <w:rFonts w:ascii="Times New Roman" w:eastAsia="Times New Roman" w:hAnsi="Times New Roman" w:cs="Times New Roman"/>
          <w:i/>
          <w:iCs/>
          <w:color w:val="000000" w:themeColor="text1"/>
          <w:bdr w:val="none" w:sz="0" w:space="0" w:color="auto" w:frame="1"/>
          <w:shd w:val="clear" w:color="auto" w:fill="C6C6C6"/>
        </w:rPr>
      </w:pPr>
      <w:r>
        <w:rPr>
          <w:rFonts w:ascii="Times New Roman" w:eastAsia="Times New Roman" w:hAnsi="Times New Roman" w:cs="Times New Roman"/>
          <w:i/>
          <w:iCs/>
          <w:color w:val="000000" w:themeColor="text1"/>
        </w:rPr>
        <w:t>Figure 3. The three conflict types EMBM agents monitor at every step. Type I compares the agent’s own L1 belief against its direct model of a teammate; Types II and III compare L1 against projected beliefs about what the teammate believes about the agent and about the third teammate, respectively.</w:t>
      </w:r>
      <w:r>
        <w:rPr>
          <w:rFonts w:ascii="Times New Roman" w:eastAsia="Times New Roman" w:hAnsi="Times New Roman" w:cs="Times New Roman"/>
          <w:i/>
          <w:iCs/>
          <w:color w:val="000000" w:themeColor="text1"/>
          <w:bdr w:val="none" w:sz="0" w:space="0" w:color="auto" w:frame="1"/>
          <w:shd w:val="clear" w:color="auto" w:fill="C6C6C6"/>
        </w:rPr>
        <w:t> </w:t>
      </w:r>
    </w:p>
    <w:p w14:paraId="48344FB8" w14:textId="77777777" w:rsidR="00802FE9" w:rsidRPr="009C4D05" w:rsidRDefault="00802FE9" w:rsidP="009C4D05">
      <w:pPr>
        <w:spacing w:after="0"/>
        <w:textAlignment w:val="baseline"/>
        <w:rPr>
          <w:rFonts w:ascii="Times New Roman" w:eastAsia="Times New Roman" w:hAnsi="Times New Roman" w:cs="Times New Roman"/>
          <w:i/>
          <w:iCs/>
          <w:color w:val="000000" w:themeColor="text1"/>
        </w:rPr>
      </w:pPr>
    </w:p>
    <w:p w14:paraId="19E3199E" w14:textId="77777777" w:rsidR="009C4D05" w:rsidRDefault="009C4D05" w:rsidP="009C4D05">
      <w:pPr>
        <w:spacing w:after="0"/>
        <w:textAlignment w:val="baseline"/>
        <w:rPr>
          <w:rFonts w:ascii="Times New Roman" w:eastAsia="Times New Roman" w:hAnsi="Times New Roman" w:cs="Times New Roman"/>
          <w:b/>
          <w:bCs/>
          <w:color w:val="000000" w:themeColor="text1"/>
          <w:bdr w:val="none" w:sz="0" w:space="0" w:color="auto" w:frame="1"/>
          <w:shd w:val="clear" w:color="auto" w:fill="C6C6C6"/>
        </w:rPr>
      </w:pPr>
      <w:r>
        <w:rPr>
          <w:rFonts w:ascii="Times New Roman" w:eastAsia="Times New Roman" w:hAnsi="Times New Roman" w:cs="Times New Roman"/>
          <w:b/>
          <w:bCs/>
          <w:color w:val="000000" w:themeColor="text1"/>
        </w:rPr>
        <w:t>3.7.4 Cross-substrate translation</w:t>
      </w:r>
      <w:r>
        <w:rPr>
          <w:rFonts w:ascii="Times New Roman" w:eastAsia="Times New Roman" w:hAnsi="Times New Roman" w:cs="Times New Roman"/>
          <w:b/>
          <w:bCs/>
          <w:color w:val="000000" w:themeColor="text1"/>
          <w:bdr w:val="none" w:sz="0" w:space="0" w:color="auto" w:frame="1"/>
          <w:shd w:val="clear" w:color="auto" w:fill="C6C6C6"/>
        </w:rPr>
        <w:t> </w:t>
      </w:r>
    </w:p>
    <w:p w14:paraId="385A78B9" w14:textId="77777777" w:rsidR="00802FE9" w:rsidRPr="009C4D05" w:rsidRDefault="00802FE9" w:rsidP="009C4D05">
      <w:pPr>
        <w:spacing w:after="0"/>
        <w:textAlignment w:val="baseline"/>
        <w:rPr>
          <w:rFonts w:ascii="Times New Roman" w:eastAsia="Times New Roman" w:hAnsi="Times New Roman" w:cs="Times New Roman"/>
          <w:b/>
          <w:bCs/>
          <w:color w:val="000000" w:themeColor="text1"/>
        </w:rPr>
      </w:pPr>
    </w:p>
    <w:p w14:paraId="01D61F23" w14:textId="77777777"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t>When an agent A (substrate X) communicates evidence to agent B (substrate Y), the evidence must be translated. We use the translation rule from Okabe et al. (2025) without modification: a diagnosis or posterior in X is passed to Y’s ingest interface, and Y absorbs it in the form its own substrate allows. Under BBN → Markov, a distribution becomes a soft evidence vector; under BBN → tree, a posterior collapses on argmax; under tree → BBN, a crisp label becomes a gamma-weighted point distribution. This translation layer is held constant across all experiments here, so any differences we observe are attributable to substrate choice or projection mode, not to translation.</w:t>
      </w:r>
      <w:r>
        <w:rPr>
          <w:rFonts w:ascii="Times New Roman" w:eastAsia="Times New Roman" w:hAnsi="Times New Roman" w:cs="Times New Roman"/>
          <w:color w:val="000000" w:themeColor="text1"/>
          <w:bdr w:val="none" w:sz="0" w:space="0" w:color="auto" w:frame="1"/>
          <w:shd w:val="clear" w:color="auto" w:fill="C6C6C6"/>
        </w:rPr>
        <w:t> </w:t>
      </w:r>
    </w:p>
    <w:p w14:paraId="0E753199" w14:textId="77777777" w:rsidR="00802FE9" w:rsidRPr="009C4D05" w:rsidRDefault="00802FE9" w:rsidP="009C4D05">
      <w:pPr>
        <w:spacing w:after="0"/>
        <w:textAlignment w:val="baseline"/>
        <w:rPr>
          <w:rFonts w:ascii="Times New Roman" w:eastAsia="Times New Roman" w:hAnsi="Times New Roman" w:cs="Times New Roman"/>
          <w:color w:val="000000" w:themeColor="text1"/>
        </w:rPr>
      </w:pPr>
    </w:p>
    <w:p w14:paraId="40FC70AF" w14:textId="77777777" w:rsidR="009C4D05" w:rsidRDefault="009C4D05" w:rsidP="009C4D05">
      <w:pPr>
        <w:spacing w:after="0"/>
        <w:textAlignment w:val="baseline"/>
        <w:rPr>
          <w:rFonts w:ascii="Times New Roman" w:eastAsia="Times New Roman" w:hAnsi="Times New Roman" w:cs="Times New Roman"/>
          <w:b/>
          <w:bCs/>
          <w:color w:val="000000" w:themeColor="text1"/>
          <w:bdr w:val="none" w:sz="0" w:space="0" w:color="auto" w:frame="1"/>
          <w:shd w:val="clear" w:color="auto" w:fill="C6C6C6"/>
        </w:rPr>
      </w:pPr>
      <w:r>
        <w:rPr>
          <w:rFonts w:ascii="Times New Roman" w:eastAsia="Times New Roman" w:hAnsi="Times New Roman" w:cs="Times New Roman"/>
          <w:b/>
          <w:bCs/>
          <w:color w:val="000000" w:themeColor="text1"/>
        </w:rPr>
        <w:t>3.7.5 Three network instantiations</w:t>
      </w:r>
      <w:r>
        <w:rPr>
          <w:rFonts w:ascii="Times New Roman" w:eastAsia="Times New Roman" w:hAnsi="Times New Roman" w:cs="Times New Roman"/>
          <w:b/>
          <w:bCs/>
          <w:color w:val="000000" w:themeColor="text1"/>
          <w:bdr w:val="none" w:sz="0" w:space="0" w:color="auto" w:frame="1"/>
          <w:shd w:val="clear" w:color="auto" w:fill="C6C6C6"/>
        </w:rPr>
        <w:t> </w:t>
      </w:r>
    </w:p>
    <w:p w14:paraId="2F7BB999" w14:textId="77777777" w:rsidR="00802FE9" w:rsidRPr="009C4D05" w:rsidRDefault="00802FE9" w:rsidP="009C4D05">
      <w:pPr>
        <w:spacing w:after="0"/>
        <w:textAlignment w:val="baseline"/>
        <w:rPr>
          <w:rFonts w:ascii="Times New Roman" w:eastAsia="Times New Roman" w:hAnsi="Times New Roman" w:cs="Times New Roman"/>
          <w:b/>
          <w:bCs/>
          <w:color w:val="000000" w:themeColor="text1"/>
        </w:rPr>
      </w:pPr>
    </w:p>
    <w:p w14:paraId="388BFC1F" w14:textId="35F2537A"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t xml:space="preserve">The abstract model of §§3.7.1–3.7.4 is domain-agnostic. To ground it, we instantiate it on three Bayesian networks: two 17-node networks that ground the paper’s direct comparison with the original EMBM instantiation, and one canonical 37-node medical monitoring network that tests whether the two-force account survives at approximately twice the network scale. All three networks are held constant across cells of the experimental design; agents </w:t>
      </w:r>
      <w:proofErr w:type="gramStart"/>
      <w:r>
        <w:rPr>
          <w:rFonts w:ascii="Times New Roman" w:eastAsia="Times New Roman" w:hAnsi="Times New Roman" w:cs="Times New Roman"/>
          <w:color w:val="000000" w:themeColor="text1"/>
        </w:rPr>
        <w:t>in a given</w:t>
      </w:r>
      <w:proofErr w:type="gramEnd"/>
      <w:r>
        <w:rPr>
          <w:rFonts w:ascii="Times New Roman" w:eastAsia="Times New Roman" w:hAnsi="Times New Roman" w:cs="Times New Roman"/>
          <w:color w:val="000000" w:themeColor="text1"/>
        </w:rPr>
        <w:t xml:space="preserve"> team share the same causal specification but may run different inference engines over it.</w:t>
      </w:r>
      <w:r>
        <w:rPr>
          <w:rFonts w:ascii="Times New Roman" w:eastAsia="Times New Roman" w:hAnsi="Times New Roman" w:cs="Times New Roman"/>
          <w:color w:val="000000" w:themeColor="text1"/>
          <w:bdr w:val="none" w:sz="0" w:space="0" w:color="auto" w:frame="1"/>
          <w:shd w:val="clear" w:color="auto" w:fill="C6C6C6"/>
        </w:rPr>
        <w:t> </w:t>
      </w:r>
    </w:p>
    <w:p w14:paraId="6D540D6C" w14:textId="77777777" w:rsidR="00802FE9" w:rsidRPr="009C4D05" w:rsidRDefault="00802FE9" w:rsidP="009C4D05">
      <w:pPr>
        <w:spacing w:after="0"/>
        <w:textAlignment w:val="baseline"/>
        <w:rPr>
          <w:rFonts w:ascii="Times New Roman" w:eastAsia="Times New Roman" w:hAnsi="Times New Roman" w:cs="Times New Roman"/>
          <w:color w:val="000000" w:themeColor="text1"/>
        </w:rPr>
      </w:pPr>
    </w:p>
    <w:p w14:paraId="4C93D21C" w14:textId="03D10403"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Kanno. </w:t>
      </w:r>
      <w:r>
        <w:rPr>
          <w:rFonts w:ascii="Times New Roman" w:eastAsia="Times New Roman" w:hAnsi="Times New Roman" w:cs="Times New Roman"/>
          <w:color w:val="000000" w:themeColor="text1"/>
        </w:rPr>
        <w:t xml:space="preserve">The car-diagnosis network of Okabe et al. (2025), imported directly from the authors' </w:t>
      </w:r>
      <w:proofErr w:type="spellStart"/>
      <w:r>
        <w:rPr>
          <w:rFonts w:ascii="Times New Roman" w:eastAsia="Times New Roman" w:hAnsi="Times New Roman" w:cs="Times New Roman"/>
          <w:color w:val="000000" w:themeColor="text1"/>
        </w:rPr>
        <w:t>Netica</w:t>
      </w:r>
      <w:proofErr w:type="spellEnd"/>
      <w:r>
        <w:rPr>
          <w:rFonts w:ascii="Times New Roman" w:eastAsia="Times New Roman" w:hAnsi="Times New Roman" w:cs="Times New Roman"/>
          <w:color w:val="000000" w:themeColor="text1"/>
        </w:rPr>
        <w:t xml:space="preserve"> specification (agent1.dne), itself adapted from the original </w:t>
      </w:r>
      <w:proofErr w:type="spellStart"/>
      <w:r>
        <w:rPr>
          <w:rFonts w:ascii="Times New Roman" w:eastAsia="Times New Roman" w:hAnsi="Times New Roman" w:cs="Times New Roman"/>
          <w:color w:val="000000" w:themeColor="text1"/>
        </w:rPr>
        <w:t>Norsys</w:t>
      </w:r>
      <w:proofErr w:type="spellEnd"/>
      <w:r>
        <w:rPr>
          <w:rFonts w:ascii="Times New Roman" w:eastAsia="Times New Roman" w:hAnsi="Times New Roman" w:cs="Times New Roman"/>
          <w:color w:val="000000" w:themeColor="text1"/>
        </w:rPr>
        <w:t xml:space="preserve"> </w:t>
      </w:r>
      <w:proofErr w:type="spellStart"/>
      <w:r>
        <w:rPr>
          <w:rFonts w:ascii="Times New Roman" w:eastAsia="Times New Roman" w:hAnsi="Times New Roman" w:cs="Times New Roman"/>
          <w:color w:val="000000" w:themeColor="text1"/>
        </w:rPr>
        <w:t>Netica</w:t>
      </w:r>
      <w:proofErr w:type="spellEnd"/>
      <w:r>
        <w:rPr>
          <w:rFonts w:ascii="Times New Roman" w:eastAsia="Times New Roman" w:hAnsi="Times New Roman" w:cs="Times New Roman"/>
          <w:color w:val="000000" w:themeColor="text1"/>
        </w:rPr>
        <w:t xml:space="preserve"> car-diagnosis example. The 17 nodes represent car parts organized around a Starts outcome and </w:t>
      </w:r>
      <w:proofErr w:type="gramStart"/>
      <w:r>
        <w:rPr>
          <w:rFonts w:ascii="Times New Roman" w:eastAsia="Times New Roman" w:hAnsi="Times New Roman" w:cs="Times New Roman"/>
          <w:color w:val="000000" w:themeColor="text1"/>
        </w:rPr>
        <w:t>its</w:t>
      </w:r>
      <w:proofErr w:type="gramEnd"/>
      <w:r>
        <w:rPr>
          <w:rFonts w:ascii="Times New Roman" w:eastAsia="Times New Roman" w:hAnsi="Times New Roman" w:cs="Times New Roman"/>
          <w:color w:val="000000" w:themeColor="text1"/>
        </w:rPr>
        <w:t> causal predecessors — battery, alternator, fuel path (tank, filter, fuel system), air path (filter, air), electrical (main fuse, plug </w:t>
      </w:r>
      <w:proofErr w:type="gramStart"/>
      <w:r>
        <w:rPr>
          <w:rFonts w:ascii="Times New Roman" w:eastAsia="Times New Roman" w:hAnsi="Times New Roman" w:cs="Times New Roman"/>
          <w:color w:val="000000" w:themeColor="text1"/>
        </w:rPr>
        <w:t>voltage, spark plugs</w:t>
      </w:r>
      <w:proofErr w:type="gramEnd"/>
      <w:r>
        <w:rPr>
          <w:rFonts w:ascii="Times New Roman" w:eastAsia="Times New Roman" w:hAnsi="Times New Roman" w:cs="Times New Roman"/>
          <w:color w:val="000000" w:themeColor="text1"/>
        </w:rPr>
        <w:t xml:space="preserve">, spark quality), timing, distribution, starter motor, and lights. Ten nodes are observable; seven are unobservable inference targets. The observability partition into agents A, B, C is reconstructed from Okabe et al. (2025): agent A observes starter motor, gas tank, alternator, and lights; agent B observes spark plugs, battery voltage, main fuse, and lights (overlap with A on lights); agent C observes air filter, fuel, gas filter, and main </w:t>
      </w:r>
      <w:r>
        <w:rPr>
          <w:rFonts w:ascii="Times New Roman" w:eastAsia="Times New Roman" w:hAnsi="Times New Roman" w:cs="Times New Roman"/>
          <w:color w:val="000000" w:themeColor="text1"/>
        </w:rPr>
        <w:lastRenderedPageBreak/>
        <w:t xml:space="preserve">fuse (overlap with B on main fuse). The unobservable targets are </w:t>
      </w:r>
      <w:proofErr w:type="gramStart"/>
      <w:r>
        <w:rPr>
          <w:rFonts w:ascii="Times New Roman" w:eastAsia="Times New Roman" w:hAnsi="Times New Roman" w:cs="Times New Roman"/>
          <w:color w:val="000000" w:themeColor="text1"/>
        </w:rPr>
        <w:t>plug</w:t>
      </w:r>
      <w:proofErr w:type="gramEnd"/>
      <w:r>
        <w:rPr>
          <w:rFonts w:ascii="Times New Roman" w:eastAsia="Times New Roman" w:hAnsi="Times New Roman" w:cs="Times New Roman"/>
          <w:color w:val="000000" w:themeColor="text1"/>
        </w:rPr>
        <w:t xml:space="preserve"> voltage, starter, distribution, spark quality, air, timing, and starts. Because Okabe et al. (2025) have not released the source code publicly, our BBN engine and cooperation-phase mechanics are reimplemented from the paper’s algorithmic description; we validated the reimplementation by confirming that a matched all-BBN team on this network reproduces the qualitative shape of the published curves in Okabe et al.’s Figure 9 before any substrate manipulation was introduced.</w:t>
      </w:r>
      <w:r>
        <w:rPr>
          <w:rFonts w:ascii="Times New Roman" w:eastAsia="Times New Roman" w:hAnsi="Times New Roman" w:cs="Times New Roman"/>
          <w:color w:val="000000" w:themeColor="text1"/>
          <w:bdr w:val="none" w:sz="0" w:space="0" w:color="auto" w:frame="1"/>
          <w:shd w:val="clear" w:color="auto" w:fill="C6C6C6"/>
        </w:rPr>
        <w:t> </w:t>
      </w:r>
    </w:p>
    <w:p w14:paraId="5DF048F9" w14:textId="288A320F"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Domain17.</w:t>
      </w:r>
      <w:r>
        <w:rPr>
          <w:rFonts w:ascii="Times New Roman" w:eastAsia="Times New Roman" w:hAnsi="Times New Roman" w:cs="Times New Roman"/>
          <w:color w:val="000000" w:themeColor="text1"/>
        </w:rPr>
        <w:t xml:space="preserve">A hand-specified synthetic causal system, deliberately designed to exhibit a richer multi-parent structure than the Kanno network. Whereas most of Kanno’s non-root nodes have one or two parents, Domain17 has five nodes with three parents each (Comm, </w:t>
      </w:r>
      <w:proofErr w:type="spellStart"/>
      <w:r>
        <w:rPr>
          <w:rFonts w:ascii="Times New Roman" w:eastAsia="Times New Roman" w:hAnsi="Times New Roman" w:cs="Times New Roman"/>
          <w:color w:val="000000" w:themeColor="text1"/>
        </w:rPr>
        <w:t>ControlLoop</w:t>
      </w:r>
      <w:proofErr w:type="spellEnd"/>
      <w:r>
        <w:rPr>
          <w:rFonts w:ascii="Times New Roman" w:eastAsia="Times New Roman" w:hAnsi="Times New Roman" w:cs="Times New Roman"/>
          <w:color w:val="000000" w:themeColor="text1"/>
        </w:rPr>
        <w:t xml:space="preserve">, </w:t>
      </w:r>
      <w:proofErr w:type="spellStart"/>
      <w:r>
        <w:rPr>
          <w:rFonts w:ascii="Times New Roman" w:eastAsia="Times New Roman" w:hAnsi="Times New Roman" w:cs="Times New Roman"/>
          <w:color w:val="000000" w:themeColor="text1"/>
        </w:rPr>
        <w:t>DataPath</w:t>
      </w:r>
      <w:proofErr w:type="spellEnd"/>
      <w:r>
        <w:rPr>
          <w:rFonts w:ascii="Times New Roman" w:eastAsia="Times New Roman" w:hAnsi="Times New Roman" w:cs="Times New Roman"/>
          <w:color w:val="000000" w:themeColor="text1"/>
        </w:rPr>
        <w:t xml:space="preserve">, Output, </w:t>
      </w:r>
      <w:proofErr w:type="spellStart"/>
      <w:r>
        <w:rPr>
          <w:rFonts w:ascii="Times New Roman" w:eastAsia="Times New Roman" w:hAnsi="Times New Roman" w:cs="Times New Roman"/>
          <w:color w:val="000000" w:themeColor="text1"/>
        </w:rPr>
        <w:t>SystemHealth</w:t>
      </w:r>
      <w:proofErr w:type="spellEnd"/>
      <w:r>
        <w:rPr>
          <w:rFonts w:ascii="Times New Roman" w:eastAsia="Times New Roman" w:hAnsi="Times New Roman" w:cs="Times New Roman"/>
          <w:color w:val="000000" w:themeColor="text1"/>
        </w:rPr>
        <w:t>) and eight further nodes with exactly two parents. This is by design: the Markov engine’s causal-linearization approximation and the tree engine’s argmax-on-features approximation both lose more information on multi-parent nodes than on chain-like structures, so Domain17 provides an environment where the substrate manipulations are guaranteed to bite. The 17 nodes form a metaphor for a generic multi-subsystem device — power infrastructure (</w:t>
      </w:r>
      <w:proofErr w:type="spellStart"/>
      <w:r>
        <w:rPr>
          <w:rFonts w:ascii="Times New Roman" w:eastAsia="Times New Roman" w:hAnsi="Times New Roman" w:cs="Times New Roman"/>
          <w:color w:val="000000" w:themeColor="text1"/>
        </w:rPr>
        <w:t>MainPower</w:t>
      </w:r>
      <w:proofErr w:type="spellEnd"/>
      <w:r>
        <w:rPr>
          <w:rFonts w:ascii="Times New Roman" w:eastAsia="Times New Roman" w:hAnsi="Times New Roman" w:cs="Times New Roman"/>
          <w:color w:val="000000" w:themeColor="text1"/>
        </w:rPr>
        <w:t xml:space="preserve">, Regulator, </w:t>
      </w:r>
      <w:proofErr w:type="spellStart"/>
      <w:r>
        <w:rPr>
          <w:rFonts w:ascii="Times New Roman" w:eastAsia="Times New Roman" w:hAnsi="Times New Roman" w:cs="Times New Roman"/>
          <w:color w:val="000000" w:themeColor="text1"/>
        </w:rPr>
        <w:t>BusVoltage</w:t>
      </w:r>
      <w:proofErr w:type="spellEnd"/>
      <w:r>
        <w:rPr>
          <w:rFonts w:ascii="Times New Roman" w:eastAsia="Times New Roman" w:hAnsi="Times New Roman" w:cs="Times New Roman"/>
          <w:color w:val="000000" w:themeColor="text1"/>
        </w:rPr>
        <w:t xml:space="preserve">), timing and control (Clock, Firmware, Timing, </w:t>
      </w:r>
      <w:proofErr w:type="spellStart"/>
      <w:r>
        <w:rPr>
          <w:rFonts w:ascii="Times New Roman" w:eastAsia="Times New Roman" w:hAnsi="Times New Roman" w:cs="Times New Roman"/>
          <w:color w:val="000000" w:themeColor="text1"/>
        </w:rPr>
        <w:t>ControlLoop</w:t>
      </w:r>
      <w:proofErr w:type="spellEnd"/>
      <w:r>
        <w:rPr>
          <w:rFonts w:ascii="Times New Roman" w:eastAsia="Times New Roman" w:hAnsi="Times New Roman" w:cs="Times New Roman"/>
          <w:color w:val="000000" w:themeColor="text1"/>
        </w:rPr>
        <w:t>), sensor chains (</w:t>
      </w:r>
      <w:proofErr w:type="spellStart"/>
      <w:r>
        <w:rPr>
          <w:rFonts w:ascii="Times New Roman" w:eastAsia="Times New Roman" w:hAnsi="Times New Roman" w:cs="Times New Roman"/>
          <w:color w:val="000000" w:themeColor="text1"/>
        </w:rPr>
        <w:t>SensorL</w:t>
      </w:r>
      <w:proofErr w:type="spellEnd"/>
      <w:r>
        <w:rPr>
          <w:rFonts w:ascii="Times New Roman" w:eastAsia="Times New Roman" w:hAnsi="Times New Roman" w:cs="Times New Roman"/>
          <w:color w:val="000000" w:themeColor="text1"/>
        </w:rPr>
        <w:t xml:space="preserve">, </w:t>
      </w:r>
      <w:proofErr w:type="spellStart"/>
      <w:r>
        <w:rPr>
          <w:rFonts w:ascii="Times New Roman" w:eastAsia="Times New Roman" w:hAnsi="Times New Roman" w:cs="Times New Roman"/>
          <w:color w:val="000000" w:themeColor="text1"/>
        </w:rPr>
        <w:t>SensorR</w:t>
      </w:r>
      <w:proofErr w:type="spellEnd"/>
      <w:r>
        <w:rPr>
          <w:rFonts w:ascii="Times New Roman" w:eastAsia="Times New Roman" w:hAnsi="Times New Roman" w:cs="Times New Roman"/>
          <w:color w:val="000000" w:themeColor="text1"/>
        </w:rPr>
        <w:t>), actuation and thermal (Actuator, Thermal), communication (Comm), data path (</w:t>
      </w:r>
      <w:proofErr w:type="spellStart"/>
      <w:r>
        <w:rPr>
          <w:rFonts w:ascii="Times New Roman" w:eastAsia="Times New Roman" w:hAnsi="Times New Roman" w:cs="Times New Roman"/>
          <w:color w:val="000000" w:themeColor="text1"/>
        </w:rPr>
        <w:t>DataPath</w:t>
      </w:r>
      <w:proofErr w:type="spellEnd"/>
      <w:r>
        <w:rPr>
          <w:rFonts w:ascii="Times New Roman" w:eastAsia="Times New Roman" w:hAnsi="Times New Roman" w:cs="Times New Roman"/>
          <w:color w:val="000000" w:themeColor="text1"/>
        </w:rPr>
        <w:t xml:space="preserve">), output (Output), and roll-up health nodes (Stability, Integrity, </w:t>
      </w:r>
      <w:proofErr w:type="spellStart"/>
      <w:r>
        <w:rPr>
          <w:rFonts w:ascii="Times New Roman" w:eastAsia="Times New Roman" w:hAnsi="Times New Roman" w:cs="Times New Roman"/>
          <w:color w:val="000000" w:themeColor="text1"/>
        </w:rPr>
        <w:t>SystemHealth</w:t>
      </w:r>
      <w:proofErr w:type="spellEnd"/>
      <w:r>
        <w:rPr>
          <w:rFonts w:ascii="Times New Roman" w:eastAsia="Times New Roman" w:hAnsi="Times New Roman" w:cs="Times New Roman"/>
          <w:color w:val="000000" w:themeColor="text1"/>
        </w:rPr>
        <w:t xml:space="preserve">). Node cardinality is mixed (eight nodes have two states, while nine have three states). Root priors are hand-specified to mildly skew toward the nominal state so that fault scenarios are informative rather than trivial; conditional probability tables for non-root nodes are Dirichlet -sampled with a sharpness of 2.5 and parent-index-dependent bias, using a fixed random seed for reproducibility. Ten nodes are observable; seven are unobservable inference targets. The observability partition </w:t>
      </w:r>
      <w:proofErr w:type="gramStart"/>
      <w:r>
        <w:rPr>
          <w:rFonts w:ascii="Times New Roman" w:eastAsia="Times New Roman" w:hAnsi="Times New Roman" w:cs="Times New Roman"/>
          <w:color w:val="000000" w:themeColor="text1"/>
        </w:rPr>
        <w:t>is:</w:t>
      </w:r>
      <w:proofErr w:type="gramEnd"/>
      <w:r>
        <w:rPr>
          <w:rFonts w:ascii="Times New Roman" w:eastAsia="Times New Roman" w:hAnsi="Times New Roman" w:cs="Times New Roman"/>
          <w:color w:val="000000" w:themeColor="text1"/>
        </w:rPr>
        <w:t xml:space="preserve"> agent A →</w:t>
      </w:r>
      <w:proofErr w:type="spellStart"/>
      <w:r>
        <w:rPr>
          <w:rFonts w:ascii="Times New Roman" w:eastAsia="Times New Roman" w:hAnsi="Times New Roman" w:cs="Times New Roman"/>
          <w:color w:val="000000" w:themeColor="text1"/>
        </w:rPr>
        <w:t>MainPower</w:t>
      </w:r>
      <w:proofErr w:type="spellEnd"/>
      <w:r>
        <w:rPr>
          <w:rFonts w:ascii="Times New Roman" w:eastAsia="Times New Roman" w:hAnsi="Times New Roman" w:cs="Times New Roman"/>
          <w:color w:val="000000" w:themeColor="text1"/>
        </w:rPr>
        <w:t xml:space="preserve">, Regulator, </w:t>
      </w:r>
      <w:proofErr w:type="spellStart"/>
      <w:r>
        <w:rPr>
          <w:rFonts w:ascii="Times New Roman" w:eastAsia="Times New Roman" w:hAnsi="Times New Roman" w:cs="Times New Roman"/>
          <w:color w:val="000000" w:themeColor="text1"/>
        </w:rPr>
        <w:t>SensorL</w:t>
      </w:r>
      <w:proofErr w:type="spellEnd"/>
      <w:r>
        <w:rPr>
          <w:rFonts w:ascii="Times New Roman" w:eastAsia="Times New Roman" w:hAnsi="Times New Roman" w:cs="Times New Roman"/>
          <w:color w:val="000000" w:themeColor="text1"/>
        </w:rPr>
        <w:t xml:space="preserve">, Output; agent B → Clock, </w:t>
      </w:r>
      <w:proofErr w:type="spellStart"/>
      <w:r>
        <w:rPr>
          <w:rFonts w:ascii="Times New Roman" w:eastAsia="Times New Roman" w:hAnsi="Times New Roman" w:cs="Times New Roman"/>
          <w:color w:val="000000" w:themeColor="text1"/>
        </w:rPr>
        <w:t>BusVoltage</w:t>
      </w:r>
      <w:proofErr w:type="spellEnd"/>
      <w:r>
        <w:rPr>
          <w:rFonts w:ascii="Times New Roman" w:eastAsia="Times New Roman" w:hAnsi="Times New Roman" w:cs="Times New Roman"/>
          <w:color w:val="000000" w:themeColor="text1"/>
        </w:rPr>
        <w:t xml:space="preserve">, </w:t>
      </w:r>
      <w:proofErr w:type="spellStart"/>
      <w:r>
        <w:rPr>
          <w:rFonts w:ascii="Times New Roman" w:eastAsia="Times New Roman" w:hAnsi="Times New Roman" w:cs="Times New Roman"/>
          <w:color w:val="000000" w:themeColor="text1"/>
        </w:rPr>
        <w:t>SensorR</w:t>
      </w:r>
      <w:proofErr w:type="spellEnd"/>
      <w:r>
        <w:rPr>
          <w:rFonts w:ascii="Times New Roman" w:eastAsia="Times New Roman" w:hAnsi="Times New Roman" w:cs="Times New Roman"/>
          <w:color w:val="000000" w:themeColor="text1"/>
        </w:rPr>
        <w:t xml:space="preserve">, Thermal; agent C → Firmware, Actuator, </w:t>
      </w:r>
      <w:proofErr w:type="spellStart"/>
      <w:r>
        <w:rPr>
          <w:rFonts w:ascii="Times New Roman" w:eastAsia="Times New Roman" w:hAnsi="Times New Roman" w:cs="Times New Roman"/>
          <w:color w:val="000000" w:themeColor="text1"/>
        </w:rPr>
        <w:t>SensorL</w:t>
      </w:r>
      <w:proofErr w:type="spellEnd"/>
      <w:r>
        <w:rPr>
          <w:rFonts w:ascii="Times New Roman" w:eastAsia="Times New Roman" w:hAnsi="Times New Roman" w:cs="Times New Roman"/>
          <w:color w:val="000000" w:themeColor="text1"/>
        </w:rPr>
        <w:t xml:space="preserve">, </w:t>
      </w:r>
      <w:proofErr w:type="spellStart"/>
      <w:r>
        <w:rPr>
          <w:rFonts w:ascii="Times New Roman" w:eastAsia="Times New Roman" w:hAnsi="Times New Roman" w:cs="Times New Roman"/>
          <w:color w:val="000000" w:themeColor="text1"/>
        </w:rPr>
        <w:t>BusVoltage</w:t>
      </w:r>
      <w:proofErr w:type="spellEnd"/>
      <w:r>
        <w:rPr>
          <w:rFonts w:ascii="Times New Roman" w:eastAsia="Times New Roman" w:hAnsi="Times New Roman" w:cs="Times New Roman"/>
          <w:color w:val="000000" w:themeColor="text1"/>
        </w:rPr>
        <w:t xml:space="preserve"> (overlaps with A on </w:t>
      </w:r>
      <w:proofErr w:type="spellStart"/>
      <w:r>
        <w:rPr>
          <w:rFonts w:ascii="Times New Roman" w:eastAsia="Times New Roman" w:hAnsi="Times New Roman" w:cs="Times New Roman"/>
          <w:color w:val="000000" w:themeColor="text1"/>
        </w:rPr>
        <w:t>SensorL</w:t>
      </w:r>
      <w:proofErr w:type="spellEnd"/>
      <w:r>
        <w:rPr>
          <w:rFonts w:ascii="Times New Roman" w:eastAsia="Times New Roman" w:hAnsi="Times New Roman" w:cs="Times New Roman"/>
          <w:color w:val="000000" w:themeColor="text1"/>
        </w:rPr>
        <w:t xml:space="preserve"> and with B on </w:t>
      </w:r>
      <w:proofErr w:type="spellStart"/>
      <w:r>
        <w:rPr>
          <w:rFonts w:ascii="Times New Roman" w:eastAsia="Times New Roman" w:hAnsi="Times New Roman" w:cs="Times New Roman"/>
          <w:color w:val="000000" w:themeColor="text1"/>
        </w:rPr>
        <w:t>BusVoltage</w:t>
      </w:r>
      <w:proofErr w:type="spellEnd"/>
      <w:r>
        <w:rPr>
          <w:rFonts w:ascii="Times New Roman" w:eastAsia="Times New Roman" w:hAnsi="Times New Roman" w:cs="Times New Roman"/>
          <w:color w:val="000000" w:themeColor="text1"/>
        </w:rPr>
        <w:t>), following the overlap-with-partial-redundancy pattern of Okabe et al.’s</w:t>
      </w:r>
      <w:r w:rsidR="0067136C">
        <w:rPr>
          <w:rFonts w:ascii="Times New Roman" w:eastAsia="Times New Roman" w:hAnsi="Times New Roman" w:cs="Times New Roman"/>
          <w:color w:val="000000" w:themeColor="text1"/>
        </w:rPr>
        <w:t xml:space="preserve"> (2025)</w:t>
      </w:r>
      <w:r>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bdr w:val="none" w:sz="0" w:space="0" w:color="auto" w:frame="1"/>
          <w:shd w:val="clear" w:color="auto" w:fill="C6C6C6"/>
        </w:rPr>
        <w:t> </w:t>
      </w:r>
    </w:p>
    <w:p w14:paraId="662C5943" w14:textId="77777777" w:rsidR="00802FE9"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ALARM.</w:t>
      </w:r>
      <w:r>
        <w:rPr>
          <w:rFonts w:ascii="Times New Roman" w:eastAsia="Times New Roman" w:hAnsi="Times New Roman" w:cs="Times New Roman"/>
          <w:color w:val="000000" w:themeColor="text1"/>
        </w:rPr>
        <w:t xml:space="preserve"> The canonical anesthesia-monitoring network of Beinlich et al. (1989), a 37-node discrete Bayesian network widely used as a benchmark in the BN literature. We selected ALARM specifically to test whether the two-force account survives on networks approximately twice the scale of the paper’s two 17-node instantiations, while continuing to satisfy the recursive-mutual-belief architecture’s requirements: multi-parent structure sufficient to activate the tree and Markov substrate manipulations (ALARM has 3 nodes with 3 or 4 parents and 14 with 2 parents; maximum in-degree 4), a naturally interpretable three-role observability partition reflecting real cooperative-diagnosis practice, and canonical status independent of </w:t>
      </w:r>
    </w:p>
    <w:p w14:paraId="4E695341" w14:textId="77777777" w:rsidR="00802FE9"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Kanno’s car-diagnosis lineage. </w:t>
      </w:r>
    </w:p>
    <w:p w14:paraId="39ABBE61" w14:textId="35F77C3E"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The 37 nodes divide into Beinlich’s original three-way classification: 8 diagnostic hypotheses (hypovolemia, left ventricular failure, anaphylaxis, insufficient anesthesia, pulmonary embolus, intubation state, kinked tube, disconnection), 13 intermediate physiological states (cardiac output, stroke volume, heart rate, catecholamine level, arterial CO2, and eight ventilator/circulation intermediates), and 16 clinical findings. Our observability partition uses 14 of the 16 findings across three agents; we treat the two error-indicator findings (ERRLOWOUTPUT, ERRCAUTER) as intermediate rather than observable, since they are monitor-fidelity flags inferred from monitor discrepancies rather than direct clinical observations, giving a final partition of 8 + 14 + 15 = 37. The three agents reflect real anesthesia team roles: the anesthesiologist (Agent A) observes hemodynamic monitors (BP, CVP, PCWP, HRBP, PAP, SAO2); the respiratory technician (Agent B) observes ventilator </w:t>
      </w:r>
      <w:r>
        <w:rPr>
          <w:rFonts w:ascii="Times New Roman" w:eastAsia="Times New Roman" w:hAnsi="Times New Roman" w:cs="Times New Roman"/>
          <w:color w:val="000000" w:themeColor="text1"/>
        </w:rPr>
        <w:lastRenderedPageBreak/>
        <w:t xml:space="preserve">and gas exchange readouts (EXPCO2, MINVOL, MINVOLSET, PRESS, FIO2); the circulating nurse/monitor operator (Agent C) observes EKG-derived and saturation-derived heart rate signals plus patient history (HREKG, HRSAT, HISTORY, SAO2, MINVOLSET). Overlap structure: SAO2 is observed jointly by A and C (both routinely watch the pulse oximeter), and MINVOLSET is observed jointly by B and C (both see the ventilator settings the tech configured). This gives 14 unique observable nodes and 23 hidden inference targets, a larger inference surface than either of the 17-node networks. CPT values are Beinlich’s originals as distributed in the </w:t>
      </w:r>
      <w:proofErr w:type="spellStart"/>
      <w:r>
        <w:rPr>
          <w:rFonts w:ascii="Times New Roman" w:eastAsia="Times New Roman" w:hAnsi="Times New Roman" w:cs="Times New Roman"/>
          <w:color w:val="000000" w:themeColor="text1"/>
        </w:rPr>
        <w:t>bnlearn</w:t>
      </w:r>
      <w:proofErr w:type="spellEnd"/>
      <w:r>
        <w:rPr>
          <w:rFonts w:ascii="Times New Roman" w:eastAsia="Times New Roman" w:hAnsi="Times New Roman" w:cs="Times New Roman"/>
          <w:color w:val="000000" w:themeColor="text1"/>
        </w:rPr>
        <w:t> repository; no resampling. Hard scenarios for ALARM are ranked by a clinical hardness measure (number of nodes in non-nominal clinical states, using a network-specific nominal-state map — needed because ALARM’s .</w:t>
      </w:r>
      <w:proofErr w:type="spellStart"/>
      <w:r>
        <w:rPr>
          <w:rFonts w:ascii="Times New Roman" w:eastAsia="Times New Roman" w:hAnsi="Times New Roman" w:cs="Times New Roman"/>
          <w:color w:val="000000" w:themeColor="text1"/>
        </w:rPr>
        <w:t>bifstate</w:t>
      </w:r>
      <w:proofErr w:type="spellEnd"/>
      <w:r>
        <w:rPr>
          <w:rFonts w:ascii="Times New Roman" w:eastAsia="Times New Roman" w:hAnsi="Times New Roman" w:cs="Times New Roman"/>
          <w:color w:val="000000" w:themeColor="text1"/>
        </w:rPr>
        <w:t xml:space="preserve"> orderings are not consistent with “nominal first” as they are in the two 17-node networks).</w:t>
      </w:r>
      <w:r>
        <w:rPr>
          <w:rFonts w:ascii="Times New Roman" w:eastAsia="Times New Roman" w:hAnsi="Times New Roman" w:cs="Times New Roman"/>
          <w:color w:val="000000" w:themeColor="text1"/>
          <w:bdr w:val="none" w:sz="0" w:space="0" w:color="auto" w:frame="1"/>
          <w:shd w:val="clear" w:color="auto" w:fill="C6C6C6"/>
        </w:rPr>
        <w:t> </w:t>
      </w:r>
    </w:p>
    <w:p w14:paraId="0CB359F2" w14:textId="52A570A0"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t>The three networks serve complementary roles. Kanno is the “canonical” network — using it grounds our results in the same substrate on which the original EMBM curves were established, so any effect we find there is directly comparable to the source study. Domain17 is the “controlled” network — using it lets us guarantee, by construction, that a multi-parent structure is in force, so that the substrate manipulations have real bite. ALARM is the “scale-expansion” network — using it tests whether the two-force account continues to hold when we double the number of nodes, drawing the causal specification from an entirely independent, real, clinically established Bayesian network built by anesthesiologists rather than by Okabe et al. or by us. Effects that appear in all three networks generalize across topology, CPT structure, and network scale; effects that appear in only some networks can be examined for scale-dependent or topology-specific artifacts. Figure 4 shows the topology of the two 17-node networks side by side; the 37-node ALARM network is shown in Figure 5.</w:t>
      </w:r>
      <w:r>
        <w:rPr>
          <w:rFonts w:ascii="Times New Roman" w:eastAsia="Times New Roman" w:hAnsi="Times New Roman" w:cs="Times New Roman"/>
          <w:color w:val="000000" w:themeColor="text1"/>
          <w:bdr w:val="none" w:sz="0" w:space="0" w:color="auto" w:frame="1"/>
          <w:shd w:val="clear" w:color="auto" w:fill="C6C6C6"/>
        </w:rPr>
        <w:t> </w:t>
      </w:r>
    </w:p>
    <w:p w14:paraId="4522D1E1" w14:textId="77777777" w:rsidR="00B53439" w:rsidRPr="009C4D05" w:rsidRDefault="00B53439" w:rsidP="009C4D05">
      <w:pPr>
        <w:spacing w:after="0"/>
        <w:textAlignment w:val="baseline"/>
        <w:rPr>
          <w:rFonts w:ascii="Times New Roman" w:eastAsia="Times New Roman" w:hAnsi="Times New Roman" w:cs="Times New Roman"/>
          <w:color w:val="000000" w:themeColor="text1"/>
        </w:rPr>
      </w:pPr>
    </w:p>
    <w:p w14:paraId="578E500F"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noProof/>
          <w:color w:val="000000" w:themeColor="text1"/>
        </w:rPr>
        <w:drawing>
          <wp:inline distT="0" distB="0" distL="0" distR="0" wp14:anchorId="6406EDF7" wp14:editId="15EE17FE">
            <wp:extent cx="5334000" cy="3911600"/>
            <wp:effectExtent l="0" t="0" r="0" b="0"/>
            <wp:docPr id="1571241411" name="Picture 8" descr="Figure 4. Bayesian network topologies of the two 17-node experimental substrates. Node fill color indicates which agent observes that node in the observability partition; half-and-half fills mark nodes observed by two agents (overlap zones from Okabe et al. 2025 Figure 8). Dashed borders mark unobservable nodes, which must be reasoned about via cooperative inference. Kanno (top) has predominantly single- and two-parent structure, with the sink node Starts having five parents. Domain17 (bottom) is deliberately denser: five nodes have three parents each (Comm, ControlLoop, DataPath, Output, SystemHealth), providing greater surface area for the tree engine’s argmax and the Markov engine’s causal-linearization approximations to b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e 4. Bayesian network topologies of the two 17-node experimental substrates. Node fill color indicates which agent observes that node in the observability partition; half-and-half fills mark nodes observed by two agents (overlap zones from Okabe et al. 2025 Figure 8). Dashed borders mark unobservable nodes, which must be reasoned about via cooperative inference. Kanno (top) has predominantly single- and two-parent structure, with the sink node Starts having five parents. Domain17 (bottom) is deliberately denser: five nodes have three parents each (Comm, ControlLoop, DataPath, Output, SystemHealth), providing greater surface area for the tree engine’s argmax and the Markov engine’s causal-linearization approximations to bi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4000" cy="3911600"/>
                    </a:xfrm>
                    <a:prstGeom prst="rect">
                      <a:avLst/>
                    </a:prstGeom>
                    <a:noFill/>
                    <a:ln>
                      <a:noFill/>
                    </a:ln>
                  </pic:spPr>
                </pic:pic>
              </a:graphicData>
            </a:graphic>
          </wp:inline>
        </w:drawing>
      </w:r>
      <w:r>
        <w:rPr>
          <w:rFonts w:ascii="Times New Roman" w:eastAsia="Times New Roman" w:hAnsi="Times New Roman" w:cs="Times New Roman"/>
          <w:color w:val="000000" w:themeColor="text1"/>
          <w:bdr w:val="none" w:sz="0" w:space="0" w:color="auto" w:frame="1"/>
          <w:shd w:val="clear" w:color="auto" w:fill="C6C6C6"/>
        </w:rPr>
        <w:t> </w:t>
      </w:r>
    </w:p>
    <w:p w14:paraId="09A243AB" w14:textId="726D09AB" w:rsidR="009C4D05" w:rsidRDefault="009C4D05" w:rsidP="009C4D05">
      <w:pPr>
        <w:spacing w:after="0"/>
        <w:textAlignment w:val="baseline"/>
        <w:rPr>
          <w:rFonts w:ascii="Times New Roman" w:eastAsia="Times New Roman" w:hAnsi="Times New Roman" w:cs="Times New Roman"/>
          <w:i/>
          <w:iCs/>
          <w:color w:val="000000" w:themeColor="text1"/>
          <w:bdr w:val="none" w:sz="0" w:space="0" w:color="auto" w:frame="1"/>
          <w:shd w:val="clear" w:color="auto" w:fill="C6C6C6"/>
        </w:rPr>
      </w:pPr>
      <w:r>
        <w:rPr>
          <w:rFonts w:ascii="Times New Roman" w:eastAsia="Times New Roman" w:hAnsi="Times New Roman" w:cs="Times New Roman"/>
          <w:i/>
          <w:iCs/>
          <w:color w:val="000000" w:themeColor="text1"/>
        </w:rPr>
        <w:lastRenderedPageBreak/>
        <w:t>Figure 4. Bayesian network topologies of the two 17-node experimental substrates. Node fill color indicates which agent observes that node in the observability partition; half-and-half fills mark nodes observed by two agents (overlap zones from Okabe et al. 2025</w:t>
      </w:r>
      <w:r w:rsidR="00013640">
        <w:rPr>
          <w:rFonts w:ascii="Times New Roman" w:eastAsia="Times New Roman" w:hAnsi="Times New Roman" w:cs="Times New Roman"/>
          <w:i/>
          <w:iCs/>
          <w:color w:val="000000" w:themeColor="text1"/>
        </w:rPr>
        <w:t>,</w:t>
      </w:r>
      <w:r>
        <w:rPr>
          <w:rFonts w:ascii="Times New Roman" w:eastAsia="Times New Roman" w:hAnsi="Times New Roman" w:cs="Times New Roman"/>
          <w:i/>
          <w:iCs/>
          <w:color w:val="000000" w:themeColor="text1"/>
        </w:rPr>
        <w:t xml:space="preserve"> Figure 8). Dashed borders mark unobservable nodes, which must be reasoned about via cooperative inference. Kanno (top) has predominantly single- and two-parent structure, with the sink node Starts having five parents. Domain17 (bottom) is deliberately denser: five nodes have three parents each (Comm, </w:t>
      </w:r>
      <w:proofErr w:type="spellStart"/>
      <w:r>
        <w:rPr>
          <w:rFonts w:ascii="Times New Roman" w:eastAsia="Times New Roman" w:hAnsi="Times New Roman" w:cs="Times New Roman"/>
          <w:i/>
          <w:iCs/>
          <w:color w:val="000000" w:themeColor="text1"/>
        </w:rPr>
        <w:t>ControlLoop</w:t>
      </w:r>
      <w:proofErr w:type="spellEnd"/>
      <w:r>
        <w:rPr>
          <w:rFonts w:ascii="Times New Roman" w:eastAsia="Times New Roman" w:hAnsi="Times New Roman" w:cs="Times New Roman"/>
          <w:i/>
          <w:iCs/>
          <w:color w:val="000000" w:themeColor="text1"/>
        </w:rPr>
        <w:t xml:space="preserve">, </w:t>
      </w:r>
      <w:proofErr w:type="spellStart"/>
      <w:r>
        <w:rPr>
          <w:rFonts w:ascii="Times New Roman" w:eastAsia="Times New Roman" w:hAnsi="Times New Roman" w:cs="Times New Roman"/>
          <w:i/>
          <w:iCs/>
          <w:color w:val="000000" w:themeColor="text1"/>
        </w:rPr>
        <w:t>DataPath</w:t>
      </w:r>
      <w:proofErr w:type="spellEnd"/>
      <w:r>
        <w:rPr>
          <w:rFonts w:ascii="Times New Roman" w:eastAsia="Times New Roman" w:hAnsi="Times New Roman" w:cs="Times New Roman"/>
          <w:i/>
          <w:iCs/>
          <w:color w:val="000000" w:themeColor="text1"/>
        </w:rPr>
        <w:t xml:space="preserve">, Output, </w:t>
      </w:r>
      <w:proofErr w:type="spellStart"/>
      <w:r>
        <w:rPr>
          <w:rFonts w:ascii="Times New Roman" w:eastAsia="Times New Roman" w:hAnsi="Times New Roman" w:cs="Times New Roman"/>
          <w:i/>
          <w:iCs/>
          <w:color w:val="000000" w:themeColor="text1"/>
        </w:rPr>
        <w:t>SystemHealth</w:t>
      </w:r>
      <w:proofErr w:type="spellEnd"/>
      <w:r>
        <w:rPr>
          <w:rFonts w:ascii="Times New Roman" w:eastAsia="Times New Roman" w:hAnsi="Times New Roman" w:cs="Times New Roman"/>
          <w:i/>
          <w:iCs/>
          <w:color w:val="000000" w:themeColor="text1"/>
        </w:rPr>
        <w:t>), providing greater surface area for the tree engine’s argmax and the Markov engine’s causal-linearization approximations to bite.</w:t>
      </w:r>
      <w:r>
        <w:rPr>
          <w:rFonts w:ascii="Times New Roman" w:eastAsia="Times New Roman" w:hAnsi="Times New Roman" w:cs="Times New Roman"/>
          <w:i/>
          <w:iCs/>
          <w:color w:val="000000" w:themeColor="text1"/>
          <w:bdr w:val="none" w:sz="0" w:space="0" w:color="auto" w:frame="1"/>
          <w:shd w:val="clear" w:color="auto" w:fill="C6C6C6"/>
        </w:rPr>
        <w:t> </w:t>
      </w:r>
    </w:p>
    <w:p w14:paraId="5E30BE05" w14:textId="77777777" w:rsidR="00D33C5A" w:rsidRPr="009C4D05" w:rsidRDefault="00D33C5A" w:rsidP="009C4D05">
      <w:pPr>
        <w:spacing w:after="0"/>
        <w:textAlignment w:val="baseline"/>
        <w:rPr>
          <w:rFonts w:ascii="Times New Roman" w:eastAsia="Times New Roman" w:hAnsi="Times New Roman" w:cs="Times New Roman"/>
          <w:i/>
          <w:iCs/>
          <w:color w:val="000000" w:themeColor="text1"/>
        </w:rPr>
      </w:pPr>
    </w:p>
    <w:p w14:paraId="310AA008"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noProof/>
          <w:color w:val="000000" w:themeColor="text1"/>
        </w:rPr>
        <w:drawing>
          <wp:inline distT="0" distB="0" distL="0" distR="0" wp14:anchorId="78E40926" wp14:editId="71747D9D">
            <wp:extent cx="5334000" cy="6311900"/>
            <wp:effectExtent l="0" t="0" r="0" b="0"/>
            <wp:docPr id="1439326145" name="Picture 7" descr="Figure 5. The ALARM network (Beinlich et al. 1989), 37 nodes and 46 edges, an anesthesia-monitoring Bayesian network approximately 2x the scale of the paper’s two 17-node instantiations. Diagnostic hypotheses (8 nodes, dashed borders) are the hidden fault causes the team must jointly infer. Fill color indicates the three-agent observability partition: Agent A (anesthesiologist) watches hemodynamic monitors; Agent B (respiratory technician) watches ventilator and gas exchange; Agent C (circulating nurse) watches EKG, saturation, and history. Overlap nodes (SAO2, MINVOLSET) are observed by two agents each, mirroring the overlap-with-partial-redundancy pattern of Okabe et al. 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e 5. The ALARM network (Beinlich et al. 1989), 37 nodes and 46 edges, an anesthesia-monitoring Bayesian network approximately 2x the scale of the paper’s two 17-node instantiations. Diagnostic hypotheses (8 nodes, dashed borders) are the hidden fault causes the team must jointly infer. Fill color indicates the three-agent observability partition: Agent A (anesthesiologist) watches hemodynamic monitors; Agent B (respiratory technician) watches ventilator and gas exchange; Agent C (circulating nurse) watches EKG, saturation, and history. Overlap nodes (SAO2, MINVOLSET) are observed by two agents each, mirroring the overlap-with-partial-redundancy pattern of Okabe et al. Fig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000" cy="6311900"/>
                    </a:xfrm>
                    <a:prstGeom prst="rect">
                      <a:avLst/>
                    </a:prstGeom>
                    <a:noFill/>
                    <a:ln>
                      <a:noFill/>
                    </a:ln>
                  </pic:spPr>
                </pic:pic>
              </a:graphicData>
            </a:graphic>
          </wp:inline>
        </w:drawing>
      </w:r>
      <w:r>
        <w:rPr>
          <w:rFonts w:ascii="Times New Roman" w:eastAsia="Times New Roman" w:hAnsi="Times New Roman" w:cs="Times New Roman"/>
          <w:color w:val="000000" w:themeColor="text1"/>
          <w:bdr w:val="none" w:sz="0" w:space="0" w:color="auto" w:frame="1"/>
          <w:shd w:val="clear" w:color="auto" w:fill="C6C6C6"/>
        </w:rPr>
        <w:t> </w:t>
      </w:r>
    </w:p>
    <w:p w14:paraId="7FAA337C" w14:textId="3F5098E5" w:rsidR="009C4D05" w:rsidRDefault="009C4D05" w:rsidP="009C4D05">
      <w:pPr>
        <w:spacing w:after="0"/>
        <w:textAlignment w:val="baseline"/>
        <w:rPr>
          <w:rFonts w:ascii="Times New Roman" w:eastAsia="Times New Roman" w:hAnsi="Times New Roman" w:cs="Times New Roman"/>
          <w:i/>
          <w:iCs/>
          <w:color w:val="000000" w:themeColor="text1"/>
          <w:bdr w:val="none" w:sz="0" w:space="0" w:color="auto" w:frame="1"/>
          <w:shd w:val="clear" w:color="auto" w:fill="C6C6C6"/>
        </w:rPr>
      </w:pPr>
      <w:r>
        <w:rPr>
          <w:rFonts w:ascii="Times New Roman" w:eastAsia="Times New Roman" w:hAnsi="Times New Roman" w:cs="Times New Roman"/>
          <w:i/>
          <w:iCs/>
          <w:color w:val="000000" w:themeColor="text1"/>
        </w:rPr>
        <w:lastRenderedPageBreak/>
        <w:t>Figure 5. The ALARM network (Beinlich et al. 1989), 37 nodes and 46 edges, an anesthesia-monitoring Bayesian network approximately 2x the scale of the paper’s two 17-node instantiations. Diagnostic hypotheses (8 nodes, dashed borders) are the hidden fault causes the team must jointly infer. Fill color indicates the three-agent observability partition: Agent A (anesthesiologist) watches hemodynamic monitors; Agent B (respiratory technician) watches ventilator and gas exchange; Agent C (circulating nurse) watches EKG, saturation, and history. Overlap nodes (SAO2, MINVOLSET) are observed by two agents each, mirroring the overlap-with-partial-redundancy pattern of Okabe et al.</w:t>
      </w:r>
      <w:r w:rsidR="00CB30E1">
        <w:rPr>
          <w:rFonts w:ascii="Times New Roman" w:eastAsia="Times New Roman" w:hAnsi="Times New Roman" w:cs="Times New Roman"/>
          <w:i/>
          <w:iCs/>
          <w:color w:val="000000" w:themeColor="text1"/>
        </w:rPr>
        <w:t xml:space="preserve"> 2025,</w:t>
      </w:r>
      <w:r>
        <w:rPr>
          <w:rFonts w:ascii="Times New Roman" w:eastAsia="Times New Roman" w:hAnsi="Times New Roman" w:cs="Times New Roman"/>
          <w:i/>
          <w:iCs/>
          <w:color w:val="000000" w:themeColor="text1"/>
        </w:rPr>
        <w:t> Figure 8.</w:t>
      </w:r>
      <w:r>
        <w:rPr>
          <w:rFonts w:ascii="Times New Roman" w:eastAsia="Times New Roman" w:hAnsi="Times New Roman" w:cs="Times New Roman"/>
          <w:i/>
          <w:iCs/>
          <w:color w:val="000000" w:themeColor="text1"/>
          <w:bdr w:val="none" w:sz="0" w:space="0" w:color="auto" w:frame="1"/>
          <w:shd w:val="clear" w:color="auto" w:fill="C6C6C6"/>
        </w:rPr>
        <w:t> </w:t>
      </w:r>
    </w:p>
    <w:p w14:paraId="3F86216B" w14:textId="77777777" w:rsidR="00802FE9" w:rsidRPr="009C4D05" w:rsidRDefault="00802FE9" w:rsidP="009C4D05">
      <w:pPr>
        <w:spacing w:after="0"/>
        <w:textAlignment w:val="baseline"/>
        <w:rPr>
          <w:rFonts w:ascii="Times New Roman" w:eastAsia="Times New Roman" w:hAnsi="Times New Roman" w:cs="Times New Roman"/>
          <w:i/>
          <w:iCs/>
          <w:color w:val="000000" w:themeColor="text1"/>
        </w:rPr>
      </w:pPr>
    </w:p>
    <w:p w14:paraId="17BCEC00" w14:textId="77777777" w:rsidR="009C4D05" w:rsidRPr="009C4D05" w:rsidRDefault="009C4D05" w:rsidP="009C4D05">
      <w:pPr>
        <w:spacing w:after="0"/>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3.7.6 Node importance</w:t>
      </w:r>
      <w:r>
        <w:rPr>
          <w:rFonts w:ascii="Times New Roman" w:eastAsia="Times New Roman" w:hAnsi="Times New Roman" w:cs="Times New Roman"/>
          <w:b/>
          <w:bCs/>
          <w:color w:val="000000" w:themeColor="text1"/>
          <w:bdr w:val="none" w:sz="0" w:space="0" w:color="auto" w:frame="1"/>
          <w:shd w:val="clear" w:color="auto" w:fill="C6C6C6"/>
        </w:rPr>
        <w:t> </w:t>
      </w:r>
    </w:p>
    <w:p w14:paraId="45B68594" w14:textId="77777777"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t>The action-selection procedure of §3.3 picks the highest-importance detected conflict, where node importance follows the mutual-information sum definition of Okabe et al. (2025, Eq. 3): the importance of node X is the sum of the pairwise mutual information between X and every other node in the network, computed under the network’s prior distribution. This measure is scenario-independent and is precomputed once per network. In case of ties or absent conflicts, the agent selects uniformly at random from the tied set.</w:t>
      </w:r>
      <w:r>
        <w:rPr>
          <w:rFonts w:ascii="Times New Roman" w:eastAsia="Times New Roman" w:hAnsi="Times New Roman" w:cs="Times New Roman"/>
          <w:color w:val="000000" w:themeColor="text1"/>
          <w:bdr w:val="none" w:sz="0" w:space="0" w:color="auto" w:frame="1"/>
          <w:shd w:val="clear" w:color="auto" w:fill="C6C6C6"/>
        </w:rPr>
        <w:t> </w:t>
      </w:r>
    </w:p>
    <w:p w14:paraId="062F66D8" w14:textId="77777777" w:rsidR="00802FE9" w:rsidRPr="009C4D05" w:rsidRDefault="00802FE9" w:rsidP="009C4D05">
      <w:pPr>
        <w:spacing w:after="0"/>
        <w:textAlignment w:val="baseline"/>
        <w:rPr>
          <w:rFonts w:ascii="Times New Roman" w:eastAsia="Times New Roman" w:hAnsi="Times New Roman" w:cs="Times New Roman"/>
          <w:color w:val="000000" w:themeColor="text1"/>
        </w:rPr>
      </w:pPr>
    </w:p>
    <w:p w14:paraId="63892B68" w14:textId="77777777" w:rsidR="009C4D05" w:rsidRDefault="009C4D05" w:rsidP="009C4D05">
      <w:pPr>
        <w:spacing w:after="0"/>
        <w:textAlignment w:val="baseline"/>
        <w:rPr>
          <w:rFonts w:ascii="Times New Roman" w:eastAsia="Times New Roman" w:hAnsi="Times New Roman" w:cs="Times New Roman"/>
          <w:b/>
          <w:bCs/>
          <w:color w:val="000000" w:themeColor="text1"/>
          <w:bdr w:val="none" w:sz="0" w:space="0" w:color="auto" w:frame="1"/>
          <w:shd w:val="clear" w:color="auto" w:fill="C6C6C6"/>
        </w:rPr>
      </w:pPr>
      <w:r>
        <w:rPr>
          <w:rFonts w:ascii="Times New Roman" w:eastAsia="Times New Roman" w:hAnsi="Times New Roman" w:cs="Times New Roman"/>
          <w:b/>
          <w:bCs/>
          <w:color w:val="000000" w:themeColor="text1"/>
        </w:rPr>
        <w:t>4. Experimental design</w:t>
      </w:r>
      <w:r>
        <w:rPr>
          <w:rFonts w:ascii="Times New Roman" w:eastAsia="Times New Roman" w:hAnsi="Times New Roman" w:cs="Times New Roman"/>
          <w:b/>
          <w:bCs/>
          <w:color w:val="000000" w:themeColor="text1"/>
          <w:bdr w:val="none" w:sz="0" w:space="0" w:color="auto" w:frame="1"/>
          <w:shd w:val="clear" w:color="auto" w:fill="C6C6C6"/>
        </w:rPr>
        <w:t> </w:t>
      </w:r>
    </w:p>
    <w:p w14:paraId="205324CD" w14:textId="77777777" w:rsidR="00802FE9" w:rsidRPr="009C4D05" w:rsidRDefault="00802FE9" w:rsidP="009C4D05">
      <w:pPr>
        <w:spacing w:after="0"/>
        <w:textAlignment w:val="baseline"/>
        <w:rPr>
          <w:rFonts w:ascii="Times New Roman" w:eastAsia="Times New Roman" w:hAnsi="Times New Roman" w:cs="Times New Roman"/>
          <w:b/>
          <w:bCs/>
          <w:color w:val="000000" w:themeColor="text1"/>
        </w:rPr>
      </w:pPr>
    </w:p>
    <w:p w14:paraId="30B79528" w14:textId="77777777" w:rsidR="009C4D05" w:rsidRPr="009C4D05" w:rsidRDefault="009C4D05" w:rsidP="009C4D05">
      <w:pPr>
        <w:spacing w:after="0"/>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4.1 2×2×2 design</w:t>
      </w:r>
      <w:r>
        <w:rPr>
          <w:rFonts w:ascii="Times New Roman" w:eastAsia="Times New Roman" w:hAnsi="Times New Roman" w:cs="Times New Roman"/>
          <w:b/>
          <w:bCs/>
          <w:color w:val="000000" w:themeColor="text1"/>
          <w:bdr w:val="none" w:sz="0" w:space="0" w:color="auto" w:frame="1"/>
          <w:shd w:val="clear" w:color="auto" w:fill="C6C6C6"/>
        </w:rPr>
        <w:t> </w:t>
      </w:r>
    </w:p>
    <w:p w14:paraId="0DE1DA5A" w14:textId="77777777" w:rsidR="00802FE9" w:rsidRDefault="00802FE9" w:rsidP="009C4D05">
      <w:pPr>
        <w:spacing w:after="0"/>
        <w:textAlignment w:val="baseline"/>
        <w:rPr>
          <w:rFonts w:ascii="Times New Roman" w:eastAsia="Times New Roman" w:hAnsi="Times New Roman" w:cs="Times New Roman"/>
          <w:color w:val="000000" w:themeColor="text1"/>
        </w:rPr>
      </w:pPr>
    </w:p>
    <w:p w14:paraId="2C8278BA" w14:textId="77777777"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t>We manipulate three factors:</w:t>
      </w:r>
      <w:r>
        <w:rPr>
          <w:rFonts w:ascii="Times New Roman" w:eastAsia="Times New Roman" w:hAnsi="Times New Roman" w:cs="Times New Roman"/>
          <w:color w:val="000000" w:themeColor="text1"/>
          <w:bdr w:val="none" w:sz="0" w:space="0" w:color="auto" w:frame="1"/>
          <w:shd w:val="clear" w:color="auto" w:fill="C6C6C6"/>
        </w:rPr>
        <w:t> </w:t>
      </w:r>
    </w:p>
    <w:p w14:paraId="245E3CBB" w14:textId="77777777" w:rsidR="00802FE9" w:rsidRPr="009C4D05" w:rsidRDefault="00802FE9" w:rsidP="009C4D05">
      <w:pPr>
        <w:spacing w:after="0"/>
        <w:textAlignment w:val="baseline"/>
        <w:rPr>
          <w:rFonts w:ascii="Times New Roman" w:eastAsia="Times New Roman" w:hAnsi="Times New Roman" w:cs="Times New Roman"/>
          <w:color w:val="000000" w:themeColor="text1"/>
        </w:rPr>
      </w:pPr>
    </w:p>
    <w:p w14:paraId="4E4C9E82" w14:textId="5217B174" w:rsidR="009C4D05" w:rsidRPr="009C4D05" w:rsidRDefault="009C4D05" w:rsidP="00802FE9">
      <w:pPr>
        <w:numPr>
          <w:ilvl w:val="0"/>
          <w:numId w:val="12"/>
        </w:num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Network — two Bayesian networks. Domain17 is a controlled 17-node synthetic causal system with hand-specified CPTs designed to produce nontrivial partial-observability inference. Kanno is the 17-node car-diagnosis network from Okabe et al. (2025), imported directly from the </w:t>
      </w:r>
      <w:proofErr w:type="gramStart"/>
      <w:r>
        <w:rPr>
          <w:rFonts w:ascii="Times New Roman" w:eastAsia="Times New Roman" w:hAnsi="Times New Roman" w:cs="Times New Roman"/>
          <w:color w:val="000000" w:themeColor="text1"/>
        </w:rPr>
        <w:t>authors'</w:t>
      </w:r>
      <w:proofErr w:type="gramEnd"/>
      <w:r>
        <w:rPr>
          <w:rFonts w:ascii="Times New Roman" w:eastAsia="Times New Roman" w:hAnsi="Times New Roman" w:cs="Times New Roman"/>
          <w:color w:val="000000" w:themeColor="text1"/>
        </w:rPr>
        <w:t xml:space="preserve"> </w:t>
      </w:r>
      <w:proofErr w:type="spellStart"/>
      <w:r>
        <w:rPr>
          <w:rFonts w:ascii="Times New Roman" w:eastAsia="Times New Roman" w:hAnsi="Times New Roman" w:cs="Times New Roman"/>
          <w:color w:val="000000" w:themeColor="text1"/>
        </w:rPr>
        <w:t>Netica</w:t>
      </w:r>
      <w:proofErr w:type="spellEnd"/>
      <w:r>
        <w:rPr>
          <w:rFonts w:ascii="Times New Roman" w:eastAsia="Times New Roman" w:hAnsi="Times New Roman" w:cs="Times New Roman"/>
          <w:color w:val="000000" w:themeColor="text1"/>
        </w:rPr>
        <w:t xml:space="preserve"> specification (agent1.dne).</w:t>
      </w:r>
      <w:r>
        <w:rPr>
          <w:rFonts w:ascii="Times New Roman" w:eastAsia="Times New Roman" w:hAnsi="Times New Roman" w:cs="Times New Roman"/>
          <w:color w:val="000000" w:themeColor="text1"/>
          <w:bdr w:val="none" w:sz="0" w:space="0" w:color="auto" w:frame="1"/>
          <w:shd w:val="clear" w:color="auto" w:fill="C6C6C6"/>
        </w:rPr>
        <w:t> </w:t>
      </w:r>
    </w:p>
    <w:p w14:paraId="6C69D37D" w14:textId="1F783AB8" w:rsidR="009C4D05" w:rsidRPr="009C4D05" w:rsidRDefault="009C4D05" w:rsidP="00802FE9">
      <w:pPr>
        <w:numPr>
          <w:ilvl w:val="0"/>
          <w:numId w:val="12"/>
        </w:num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Mismatched substrate axis — the substrate assigned to agent A in mismatched compositions is either tree (representational loss) or Markov (inferential loss). Agents B and C are always BBN.</w:t>
      </w:r>
      <w:r>
        <w:rPr>
          <w:rFonts w:ascii="Times New Roman" w:eastAsia="Times New Roman" w:hAnsi="Times New Roman" w:cs="Times New Roman"/>
          <w:color w:val="000000" w:themeColor="text1"/>
          <w:bdr w:val="none" w:sz="0" w:space="0" w:color="auto" w:frame="1"/>
          <w:shd w:val="clear" w:color="auto" w:fill="C6C6C6"/>
        </w:rPr>
        <w:t> </w:t>
      </w:r>
    </w:p>
    <w:p w14:paraId="32E362B0" w14:textId="77777777" w:rsidR="009C4D05" w:rsidRPr="00802FE9" w:rsidRDefault="009C4D05" w:rsidP="00802FE9">
      <w:pPr>
        <w:numPr>
          <w:ilvl w:val="0"/>
          <w:numId w:val="12"/>
        </w:num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Projection mode — aware or naive.</w:t>
      </w:r>
      <w:r>
        <w:rPr>
          <w:rFonts w:ascii="Times New Roman" w:eastAsia="Times New Roman" w:hAnsi="Times New Roman" w:cs="Times New Roman"/>
          <w:color w:val="000000" w:themeColor="text1"/>
          <w:bdr w:val="none" w:sz="0" w:space="0" w:color="auto" w:frame="1"/>
          <w:shd w:val="clear" w:color="auto" w:fill="C6C6C6"/>
        </w:rPr>
        <w:t> </w:t>
      </w:r>
    </w:p>
    <w:p w14:paraId="584DD294" w14:textId="77777777" w:rsidR="00802FE9" w:rsidRPr="009C4D05" w:rsidRDefault="00802FE9" w:rsidP="00802FE9">
      <w:pPr>
        <w:spacing w:after="0"/>
        <w:ind w:left="720"/>
        <w:textAlignment w:val="baseline"/>
        <w:rPr>
          <w:rFonts w:ascii="Times New Roman" w:eastAsia="Times New Roman" w:hAnsi="Times New Roman" w:cs="Times New Roman"/>
          <w:color w:val="000000" w:themeColor="text1"/>
        </w:rPr>
      </w:pPr>
    </w:p>
    <w:p w14:paraId="3C944D09" w14:textId="77777777"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t>Crossed with these three factors is the standard EMBM composition contrast: matched (all three agents are BBN) versus mismatched (one agent on the axis substrate, two on BBN). The full cell structure per (network × axis) condition is therefore the 2×2 of {matched, mismatched} × {aware, naive}, and we run all four (network × axis) conditions on the two 17-node networks, yielding a 2×2×2 = 8-cell primary design plus the two matched-baseline cells shared across axes. We additionally run the same 2×2 sub-design (matched vs mismatched crossed with aware vs naive, on both tree and Markov axes) on the 37-node ALARM network as a scale-expansion validation, with the reduced replication described in §5.1.</w:t>
      </w:r>
      <w:r>
        <w:rPr>
          <w:rFonts w:ascii="Times New Roman" w:eastAsia="Times New Roman" w:hAnsi="Times New Roman" w:cs="Times New Roman"/>
          <w:color w:val="000000" w:themeColor="text1"/>
          <w:bdr w:val="none" w:sz="0" w:space="0" w:color="auto" w:frame="1"/>
          <w:shd w:val="clear" w:color="auto" w:fill="C6C6C6"/>
        </w:rPr>
        <w:t> </w:t>
      </w:r>
    </w:p>
    <w:p w14:paraId="205C20DF" w14:textId="77777777" w:rsidR="00802FE9" w:rsidRPr="009C4D05" w:rsidRDefault="00802FE9" w:rsidP="009C4D05">
      <w:pPr>
        <w:spacing w:after="0"/>
        <w:textAlignment w:val="baseline"/>
        <w:rPr>
          <w:rFonts w:ascii="Times New Roman" w:eastAsia="Times New Roman" w:hAnsi="Times New Roman" w:cs="Times New Roman"/>
          <w:color w:val="000000" w:themeColor="text1"/>
        </w:rPr>
      </w:pPr>
    </w:p>
    <w:p w14:paraId="0965D33F" w14:textId="77777777" w:rsidR="009C4D05" w:rsidRPr="009C4D05" w:rsidRDefault="009C4D05" w:rsidP="009C4D05">
      <w:pPr>
        <w:spacing w:after="0"/>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4.2 Scenarios and replication</w:t>
      </w:r>
      <w:r>
        <w:rPr>
          <w:rFonts w:ascii="Times New Roman" w:eastAsia="Times New Roman" w:hAnsi="Times New Roman" w:cs="Times New Roman"/>
          <w:b/>
          <w:bCs/>
          <w:color w:val="000000" w:themeColor="text1"/>
          <w:bdr w:val="none" w:sz="0" w:space="0" w:color="auto" w:frame="1"/>
          <w:shd w:val="clear" w:color="auto" w:fill="C6C6C6"/>
        </w:rPr>
        <w:t> </w:t>
      </w:r>
    </w:p>
    <w:p w14:paraId="2265CF43" w14:textId="77777777" w:rsidR="00802FE9" w:rsidRDefault="00802FE9" w:rsidP="009C4D05">
      <w:pPr>
        <w:spacing w:after="0"/>
        <w:textAlignment w:val="baseline"/>
        <w:rPr>
          <w:rFonts w:ascii="Times New Roman" w:eastAsia="Times New Roman" w:hAnsi="Times New Roman" w:cs="Times New Roman"/>
          <w:color w:val="000000" w:themeColor="text1"/>
        </w:rPr>
      </w:pPr>
    </w:p>
    <w:p w14:paraId="36CCF9BC" w14:textId="30FCF779"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For each network, we pre-select eight hard scenarios drawn from a pool of 120 sampled fault configurations, ranked by hardness. Hardness is defined as the number of non-nominal-state nodes in the ground-truth fault </w:t>
      </w:r>
      <w:proofErr w:type="gramStart"/>
      <w:r>
        <w:rPr>
          <w:rFonts w:ascii="Times New Roman" w:eastAsia="Times New Roman" w:hAnsi="Times New Roman" w:cs="Times New Roman"/>
          <w:color w:val="000000" w:themeColor="text1"/>
        </w:rPr>
        <w:t>configuration — a</w:t>
      </w:r>
      <w:proofErr w:type="gramEnd"/>
      <w:r>
        <w:rPr>
          <w:rFonts w:ascii="Times New Roman" w:eastAsia="Times New Roman" w:hAnsi="Times New Roman" w:cs="Times New Roman"/>
          <w:color w:val="000000" w:themeColor="text1"/>
        </w:rPr>
        <w:t xml:space="preserve"> scenario with </w:t>
      </w:r>
      <w:proofErr w:type="gramStart"/>
      <w:r>
        <w:rPr>
          <w:rFonts w:ascii="Times New Roman" w:eastAsia="Times New Roman" w:hAnsi="Times New Roman" w:cs="Times New Roman"/>
          <w:color w:val="000000" w:themeColor="text1"/>
        </w:rPr>
        <w:t>hardness h</w:t>
      </w:r>
      <w:proofErr w:type="gramEnd"/>
      <w:r>
        <w:rPr>
          <w:rFonts w:ascii="Times New Roman" w:eastAsia="Times New Roman" w:hAnsi="Times New Roman" w:cs="Times New Roman"/>
          <w:color w:val="000000" w:themeColor="text1"/>
        </w:rPr>
        <w:t xml:space="preserve"> has h of its 17 </w:t>
      </w:r>
      <w:r>
        <w:rPr>
          <w:rFonts w:ascii="Times New Roman" w:eastAsia="Times New Roman" w:hAnsi="Times New Roman" w:cs="Times New Roman"/>
          <w:color w:val="000000" w:themeColor="text1"/>
        </w:rPr>
        <w:lastRenderedPageBreak/>
        <w:t>nodes in a non-default (</w:t>
      </w:r>
      <w:proofErr w:type="gramStart"/>
      <w:r>
        <w:rPr>
          <w:rFonts w:ascii="Times New Roman" w:eastAsia="Times New Roman" w:hAnsi="Times New Roman" w:cs="Times New Roman"/>
          <w:color w:val="000000" w:themeColor="text1"/>
        </w:rPr>
        <w:t>faulty</w:t>
      </w:r>
      <w:proofErr w:type="gramEnd"/>
      <w:r>
        <w:rPr>
          <w:rFonts w:ascii="Times New Roman" w:eastAsia="Times New Roman" w:hAnsi="Times New Roman" w:cs="Times New Roman"/>
          <w:color w:val="000000" w:themeColor="text1"/>
        </w:rPr>
        <w:t xml:space="preserve"> or degraded) state, and 17-h in their nominal state. Higher hardness is more difficult because more of the diagnosis surface is non-obvious. For Kanno, the top-8 scenarios span hardness 7 to 9; for Domain17, hardness 12 to 15. Domain17 scenarios are systematically harder in this metric because the network’s node cardinalities are higher and its fault-propagation cascades produce more downstream deviations from nominal per root fault.</w:t>
      </w:r>
      <w:r>
        <w:rPr>
          <w:rFonts w:ascii="Times New Roman" w:eastAsia="Times New Roman" w:hAnsi="Times New Roman" w:cs="Times New Roman"/>
          <w:color w:val="000000" w:themeColor="text1"/>
          <w:bdr w:val="none" w:sz="0" w:space="0" w:color="auto" w:frame="1"/>
          <w:shd w:val="clear" w:color="auto" w:fill="C6C6C6"/>
        </w:rPr>
        <w:t> </w:t>
      </w:r>
    </w:p>
    <w:p w14:paraId="70956435" w14:textId="67FABD5B"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All cells within a network condition use the same eight scenarios, so per-scenario paired comparisons are possible. For Kanno, the hard-scenario pool clusters on </w:t>
      </w:r>
      <w:proofErr w:type="spellStart"/>
      <w:r>
        <w:rPr>
          <w:rFonts w:ascii="Times New Roman" w:eastAsia="Times New Roman" w:hAnsi="Times New Roman" w:cs="Times New Roman"/>
          <w:color w:val="000000" w:themeColor="text1"/>
        </w:rPr>
        <w:t>BatVolt</w:t>
      </w:r>
      <w:proofErr w:type="spellEnd"/>
      <w:r>
        <w:rPr>
          <w:rFonts w:ascii="Times New Roman" w:eastAsia="Times New Roman" w:hAnsi="Times New Roman" w:cs="Times New Roman"/>
          <w:color w:val="000000" w:themeColor="text1"/>
        </w:rPr>
        <w:t xml:space="preserve"> (battery voltage) faults, with four scenarios </w:t>
      </w:r>
      <w:proofErr w:type="spellStart"/>
      <w:r>
        <w:rPr>
          <w:rFonts w:ascii="Times New Roman" w:eastAsia="Times New Roman" w:hAnsi="Times New Roman" w:cs="Times New Roman"/>
          <w:color w:val="000000" w:themeColor="text1"/>
        </w:rPr>
        <w:t>havingBatVolt</w:t>
      </w:r>
      <w:proofErr w:type="spellEnd"/>
      <w:r>
        <w:rPr>
          <w:rFonts w:ascii="Times New Roman" w:eastAsia="Times New Roman" w:hAnsi="Times New Roman" w:cs="Times New Roman"/>
          <w:color w:val="000000" w:themeColor="text1"/>
        </w:rPr>
        <w:t xml:space="preserve">=dead (categorical fault) and four </w:t>
      </w:r>
      <w:proofErr w:type="spellStart"/>
      <w:r>
        <w:rPr>
          <w:rFonts w:ascii="Times New Roman" w:eastAsia="Times New Roman" w:hAnsi="Times New Roman" w:cs="Times New Roman"/>
          <w:color w:val="000000" w:themeColor="text1"/>
        </w:rPr>
        <w:t>havingBatVolt</w:t>
      </w:r>
      <w:proofErr w:type="spellEnd"/>
      <w:r>
        <w:rPr>
          <w:rFonts w:ascii="Times New Roman" w:eastAsia="Times New Roman" w:hAnsi="Times New Roman" w:cs="Times New Roman"/>
          <w:color w:val="000000" w:themeColor="text1"/>
        </w:rPr>
        <w:t>=weak (graded fault); this fault-type structure interacts with the aware-vs-naive projection manipulation in ways discussed in the results. For Domain17, the hard scenarios span multiple root-fault combinations without a single dominant fault-type structure.</w:t>
      </w:r>
      <w:r>
        <w:rPr>
          <w:rFonts w:ascii="Times New Roman" w:eastAsia="Times New Roman" w:hAnsi="Times New Roman" w:cs="Times New Roman"/>
          <w:color w:val="000000" w:themeColor="text1"/>
          <w:bdr w:val="none" w:sz="0" w:space="0" w:color="auto" w:frame="1"/>
          <w:shd w:val="clear" w:color="auto" w:fill="C6C6C6"/>
        </w:rPr>
        <w:t> </w:t>
      </w:r>
    </w:p>
    <w:p w14:paraId="2E3226F6"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Each cell within each scenario </w:t>
      </w:r>
      <w:proofErr w:type="gramStart"/>
      <w:r>
        <w:rPr>
          <w:rFonts w:ascii="Times New Roman" w:eastAsia="Times New Roman" w:hAnsi="Times New Roman" w:cs="Times New Roman"/>
          <w:color w:val="000000" w:themeColor="text1"/>
        </w:rPr>
        <w:t>is run</w:t>
      </w:r>
      <w:proofErr w:type="gramEnd"/>
      <w:r>
        <w:rPr>
          <w:rFonts w:ascii="Times New Roman" w:eastAsia="Times New Roman" w:hAnsi="Times New Roman" w:cs="Times New Roman"/>
          <w:color w:val="000000" w:themeColor="text1"/>
        </w:rPr>
        <w:t xml:space="preserve"> N = 15 times with different random seeds. Seeds are stratified so that a given cell/scenario/replicate combination is reproducible from a documented base seed. We use N = 15 rather than the original N = 100 of Okabe et al. (2025) primarily to fit our full 2×2×2 sweep within the computational budget available; sensitivity analysis on the single-metric run (Section 5.1) shows aggregate estimates are stable at both N = 15 and a supplementary N = 40 within the expected sampling error. Where our claims turn on per-scenario sign consistency (8/8 replication), the reduced N has no effect on the claim; where they turn on aggregate significance testing, the reduced N is a conservative choice (less statistical power) rather than a permissive one.</w:t>
      </w:r>
      <w:r>
        <w:rPr>
          <w:rFonts w:ascii="Times New Roman" w:eastAsia="Times New Roman" w:hAnsi="Times New Roman" w:cs="Times New Roman"/>
          <w:color w:val="000000" w:themeColor="text1"/>
          <w:bdr w:val="none" w:sz="0" w:space="0" w:color="auto" w:frame="1"/>
          <w:shd w:val="clear" w:color="auto" w:fill="C6C6C6"/>
        </w:rPr>
        <w:t> </w:t>
      </w:r>
    </w:p>
    <w:p w14:paraId="550D7FCF"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Threshold is held at THD = 0.55 throughout. This diverges from the original EMBM protocol (Okabe et al. 2025 use THD = 0.75, 0.80, 0.85). The rationale for the lower value is that lower thresholds produce more committed diagnoses per agent, and therefore more surface area for the aware-vs-naive projection distinction to bite: at higher thresholds, more nodes are UNCERTAIN in every agent’s beliefs, and UNCERTAIN-vs-UNCERTAIN comparisons across projection modes are structurally identical, so the aware/naive manipulation has less to affect. Our substrate-mismatch findings are therefore anchored to a low-threshold regime, and their extension to Okabe et al.’s higher-threshold regime is a natural follow-up study that we discuss in Section 6.6.</w:t>
      </w:r>
      <w:r>
        <w:rPr>
          <w:rFonts w:ascii="Times New Roman" w:eastAsia="Times New Roman" w:hAnsi="Times New Roman" w:cs="Times New Roman"/>
          <w:color w:val="000000" w:themeColor="text1"/>
          <w:bdr w:val="none" w:sz="0" w:space="0" w:color="auto" w:frame="1"/>
          <w:shd w:val="clear" w:color="auto" w:fill="C6C6C6"/>
        </w:rPr>
        <w:t> </w:t>
      </w:r>
    </w:p>
    <w:p w14:paraId="01ED1D3E" w14:textId="77777777" w:rsidR="00802FE9" w:rsidRDefault="00802FE9" w:rsidP="009C4D05">
      <w:pPr>
        <w:spacing w:after="0"/>
        <w:textAlignment w:val="baseline"/>
        <w:rPr>
          <w:rFonts w:ascii="Times New Roman" w:eastAsia="Times New Roman" w:hAnsi="Times New Roman" w:cs="Times New Roman"/>
          <w:b/>
          <w:bCs/>
          <w:color w:val="000000" w:themeColor="text1"/>
        </w:rPr>
      </w:pPr>
    </w:p>
    <w:p w14:paraId="00877C5D" w14:textId="77777777" w:rsidR="009C4D05" w:rsidRDefault="009C4D05" w:rsidP="009C4D05">
      <w:pPr>
        <w:spacing w:after="0"/>
        <w:textAlignment w:val="baseline"/>
        <w:rPr>
          <w:rFonts w:ascii="Times New Roman" w:eastAsia="Times New Roman" w:hAnsi="Times New Roman" w:cs="Times New Roman"/>
          <w:b/>
          <w:bCs/>
          <w:color w:val="000000" w:themeColor="text1"/>
          <w:bdr w:val="none" w:sz="0" w:space="0" w:color="auto" w:frame="1"/>
          <w:shd w:val="clear" w:color="auto" w:fill="C6C6C6"/>
        </w:rPr>
      </w:pPr>
      <w:r>
        <w:rPr>
          <w:rFonts w:ascii="Times New Roman" w:eastAsia="Times New Roman" w:hAnsi="Times New Roman" w:cs="Times New Roman"/>
          <w:b/>
          <w:bCs/>
          <w:color w:val="000000" w:themeColor="text1"/>
        </w:rPr>
        <w:t>4.3 Metrics</w:t>
      </w:r>
      <w:r>
        <w:rPr>
          <w:rFonts w:ascii="Times New Roman" w:eastAsia="Times New Roman" w:hAnsi="Times New Roman" w:cs="Times New Roman"/>
          <w:b/>
          <w:bCs/>
          <w:color w:val="000000" w:themeColor="text1"/>
          <w:bdr w:val="none" w:sz="0" w:space="0" w:color="auto" w:frame="1"/>
          <w:shd w:val="clear" w:color="auto" w:fill="C6C6C6"/>
        </w:rPr>
        <w:t> </w:t>
      </w:r>
    </w:p>
    <w:p w14:paraId="68BAAF09" w14:textId="77777777" w:rsidR="00802FE9" w:rsidRPr="009C4D05" w:rsidRDefault="00802FE9" w:rsidP="009C4D05">
      <w:pPr>
        <w:spacing w:after="0"/>
        <w:textAlignment w:val="baseline"/>
        <w:rPr>
          <w:rFonts w:ascii="Times New Roman" w:eastAsia="Times New Roman" w:hAnsi="Times New Roman" w:cs="Times New Roman"/>
          <w:b/>
          <w:bCs/>
          <w:color w:val="000000" w:themeColor="text1"/>
        </w:rPr>
      </w:pPr>
    </w:p>
    <w:p w14:paraId="5CD9E665" w14:textId="4E5A54C5"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Team accuracy.</w:t>
      </w:r>
      <w:r w:rsidR="009C5498">
        <w:rPr>
          <w:rFonts w:ascii="Times New Roman" w:eastAsia="Times New Roman" w:hAnsi="Times New Roman" w:cs="Times New Roman"/>
          <w:b/>
          <w:bCs/>
          <w:color w:val="000000" w:themeColor="text1"/>
        </w:rPr>
        <w:t xml:space="preserve"> </w:t>
      </w:r>
      <w:r>
        <w:rPr>
          <w:rFonts w:ascii="Times New Roman" w:eastAsia="Times New Roman" w:hAnsi="Times New Roman" w:cs="Times New Roman"/>
          <w:color w:val="000000" w:themeColor="text1"/>
        </w:rPr>
        <w:t xml:space="preserve">The primary EMBM dependent variable: the mean, </w:t>
      </w:r>
      <w:proofErr w:type="gramStart"/>
      <w:r>
        <w:rPr>
          <w:rFonts w:ascii="Times New Roman" w:eastAsia="Times New Roman" w:hAnsi="Times New Roman" w:cs="Times New Roman"/>
          <w:color w:val="000000" w:themeColor="text1"/>
        </w:rPr>
        <w:t>across the three agents,</w:t>
      </w:r>
      <w:proofErr w:type="gramEnd"/>
      <w:r>
        <w:rPr>
          <w:rFonts w:ascii="Times New Roman" w:eastAsia="Times New Roman" w:hAnsi="Times New Roman" w:cs="Times New Roman"/>
          <w:color w:val="000000" w:themeColor="text1"/>
        </w:rPr>
        <w:t xml:space="preserve"> of the fraction of nodes whose L1 (self) diagnosis equals the ground truth. We </w:t>
      </w:r>
      <w:proofErr w:type="gramStart"/>
      <w:r>
        <w:rPr>
          <w:rFonts w:ascii="Times New Roman" w:eastAsia="Times New Roman" w:hAnsi="Times New Roman" w:cs="Times New Roman"/>
          <w:color w:val="000000" w:themeColor="text1"/>
        </w:rPr>
        <w:t>compute</w:t>
      </w:r>
      <w:proofErr w:type="gramEnd"/>
      <w:r>
        <w:rPr>
          <w:rFonts w:ascii="Times New Roman" w:eastAsia="Times New Roman" w:hAnsi="Times New Roman" w:cs="Times New Roman"/>
          <w:color w:val="000000" w:themeColor="text1"/>
        </w:rPr>
        <w:t xml:space="preserve"> this at the end of the run. UNCERTAIN diagnoses are counted as incorrect (the full metric of §5.2).</w:t>
      </w:r>
      <w:r>
        <w:rPr>
          <w:rFonts w:ascii="Times New Roman" w:eastAsia="Times New Roman" w:hAnsi="Times New Roman" w:cs="Times New Roman"/>
          <w:color w:val="000000" w:themeColor="text1"/>
          <w:bdr w:val="none" w:sz="0" w:space="0" w:color="auto" w:frame="1"/>
          <w:shd w:val="clear" w:color="auto" w:fill="C6C6C6"/>
        </w:rPr>
        <w:t> </w:t>
      </w:r>
    </w:p>
    <w:p w14:paraId="2E68A0A3" w14:textId="7519AD2A"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Substrate gap.</w:t>
      </w:r>
      <w:r>
        <w:rPr>
          <w:rFonts w:ascii="Times New Roman" w:eastAsia="Times New Roman" w:hAnsi="Times New Roman" w:cs="Times New Roman"/>
          <w:color w:val="000000" w:themeColor="text1"/>
        </w:rPr>
        <w:t> For each scenario, matched-aware accuracy − mismatched-aware accuracy. Positive values indicate that substrate mismatch is costly (the classical trap prediction); negative values indicate that mismatch is beneficial.</w:t>
      </w:r>
      <w:r>
        <w:rPr>
          <w:rFonts w:ascii="Times New Roman" w:eastAsia="Times New Roman" w:hAnsi="Times New Roman" w:cs="Times New Roman"/>
          <w:color w:val="000000" w:themeColor="text1"/>
          <w:bdr w:val="none" w:sz="0" w:space="0" w:color="auto" w:frame="1"/>
          <w:shd w:val="clear" w:color="auto" w:fill="C6C6C6"/>
        </w:rPr>
        <w:t> </w:t>
      </w:r>
    </w:p>
    <w:p w14:paraId="7EE74EEC" w14:textId="13B6294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Aware gap.</w:t>
      </w:r>
      <w:r w:rsidR="009C5498">
        <w:rPr>
          <w:rFonts w:ascii="Times New Roman" w:eastAsia="Times New Roman" w:hAnsi="Times New Roman" w:cs="Times New Roman"/>
          <w:b/>
          <w:bCs/>
          <w:color w:val="000000" w:themeColor="text1"/>
        </w:rPr>
        <w:t xml:space="preserve"> </w:t>
      </w:r>
      <w:r>
        <w:rPr>
          <w:rFonts w:ascii="Times New Roman" w:eastAsia="Times New Roman" w:hAnsi="Times New Roman" w:cs="Times New Roman"/>
          <w:color w:val="000000" w:themeColor="text1"/>
        </w:rPr>
        <w:t xml:space="preserve">For each scenario, mismatched-aware accuracy − mismatched-naive accuracy. Positive values indicate the aware projection benefits mismatched teams (the naive-projection pathology of the </w:t>
      </w:r>
      <w:proofErr w:type="spellStart"/>
      <w:r>
        <w:rPr>
          <w:rFonts w:ascii="Times New Roman" w:eastAsia="Times New Roman" w:hAnsi="Times New Roman" w:cs="Times New Roman"/>
          <w:color w:val="000000" w:themeColor="text1"/>
        </w:rPr>
        <w:t>Anthropomorphization</w:t>
      </w:r>
      <w:proofErr w:type="spellEnd"/>
      <w:r>
        <w:rPr>
          <w:rFonts w:ascii="Times New Roman" w:eastAsia="Times New Roman" w:hAnsi="Times New Roman" w:cs="Times New Roman"/>
          <w:color w:val="000000" w:themeColor="text1"/>
        </w:rPr>
        <w:t xml:space="preserve"> Trap).</w:t>
      </w:r>
      <w:r>
        <w:rPr>
          <w:rFonts w:ascii="Times New Roman" w:eastAsia="Times New Roman" w:hAnsi="Times New Roman" w:cs="Times New Roman"/>
          <w:color w:val="000000" w:themeColor="text1"/>
          <w:bdr w:val="none" w:sz="0" w:space="0" w:color="auto" w:frame="1"/>
          <w:shd w:val="clear" w:color="auto" w:fill="C6C6C6"/>
        </w:rPr>
        <w:t> </w:t>
      </w:r>
    </w:p>
    <w:p w14:paraId="0ACBBF67"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Initial conflict count.</w:t>
      </w:r>
      <w:r>
        <w:rPr>
          <w:rFonts w:ascii="Times New Roman" w:eastAsia="Times New Roman" w:hAnsi="Times New Roman" w:cs="Times New Roman"/>
          <w:color w:val="000000" w:themeColor="text1"/>
        </w:rPr>
        <w:t> The total number of conflicts across all three agents, counted immediately after the observation phase and before any cooperation action is taken. This is the sensitivity measure: it isolates how many conflicts the projection machinery even sees, before the interactive dynamics kick in.</w:t>
      </w:r>
      <w:r>
        <w:rPr>
          <w:rFonts w:ascii="Times New Roman" w:eastAsia="Times New Roman" w:hAnsi="Times New Roman" w:cs="Times New Roman"/>
          <w:color w:val="000000" w:themeColor="text1"/>
          <w:bdr w:val="none" w:sz="0" w:space="0" w:color="auto" w:frame="1"/>
          <w:shd w:val="clear" w:color="auto" w:fill="C6C6C6"/>
        </w:rPr>
        <w:t> </w:t>
      </w:r>
    </w:p>
    <w:p w14:paraId="457A9C13"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lastRenderedPageBreak/>
        <w:t>Phantom/real decomposition.</w:t>
      </w:r>
      <w:r>
        <w:rPr>
          <w:rFonts w:ascii="Times New Roman" w:eastAsia="Times New Roman" w:hAnsi="Times New Roman" w:cs="Times New Roman"/>
          <w:color w:val="000000" w:themeColor="text1"/>
        </w:rPr>
        <w:t> For each detected conflict (node, type, teammate) in the initial-conflict snapshot, we classify it as phantom if the detecting agent’s own L1 diagnosis agrees with ground truth (the mismatch with the teammate model is illusory from an oracle’s perspective — the actor is already right and the conflict-resolution action would be wasteful) or real otherwise. This decomposition is not visible to the agents; it is computed externally for analysis only.</w:t>
      </w:r>
      <w:r>
        <w:rPr>
          <w:rFonts w:ascii="Times New Roman" w:eastAsia="Times New Roman" w:hAnsi="Times New Roman" w:cs="Times New Roman"/>
          <w:color w:val="000000" w:themeColor="text1"/>
          <w:bdr w:val="none" w:sz="0" w:space="0" w:color="auto" w:frame="1"/>
          <w:shd w:val="clear" w:color="auto" w:fill="C6C6C6"/>
        </w:rPr>
        <w:t> </w:t>
      </w:r>
    </w:p>
    <w:p w14:paraId="0BC24D96" w14:textId="77777777"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b/>
          <w:bCs/>
          <w:color w:val="000000" w:themeColor="text1"/>
        </w:rPr>
        <w:t>Specificity check.</w:t>
      </w:r>
      <w:r>
        <w:rPr>
          <w:rFonts w:ascii="Times New Roman" w:eastAsia="Times New Roman" w:hAnsi="Times New Roman" w:cs="Times New Roman"/>
          <w:color w:val="000000" w:themeColor="text1"/>
        </w:rPr>
        <w:t> In each (network × axis) condition, we verify that within matched compositions, aware and naive projections produce identical initial-conflict counts — a structural expectation of the model that serves as a design-validity check.</w:t>
      </w:r>
      <w:r>
        <w:rPr>
          <w:rFonts w:ascii="Times New Roman" w:eastAsia="Times New Roman" w:hAnsi="Times New Roman" w:cs="Times New Roman"/>
          <w:color w:val="000000" w:themeColor="text1"/>
          <w:bdr w:val="none" w:sz="0" w:space="0" w:color="auto" w:frame="1"/>
          <w:shd w:val="clear" w:color="auto" w:fill="C6C6C6"/>
        </w:rPr>
        <w:t> </w:t>
      </w:r>
    </w:p>
    <w:p w14:paraId="38272E50" w14:textId="77777777" w:rsidR="00802FE9" w:rsidRPr="009C4D05" w:rsidRDefault="00802FE9" w:rsidP="009C4D05">
      <w:pPr>
        <w:spacing w:after="0"/>
        <w:textAlignment w:val="baseline"/>
        <w:rPr>
          <w:rFonts w:ascii="Times New Roman" w:eastAsia="Times New Roman" w:hAnsi="Times New Roman" w:cs="Times New Roman"/>
          <w:color w:val="000000" w:themeColor="text1"/>
        </w:rPr>
      </w:pPr>
    </w:p>
    <w:p w14:paraId="52287D17" w14:textId="77777777" w:rsidR="009C4D05" w:rsidRDefault="009C4D05" w:rsidP="009C4D05">
      <w:pPr>
        <w:spacing w:after="0"/>
        <w:textAlignment w:val="baseline"/>
        <w:rPr>
          <w:rFonts w:ascii="Times New Roman" w:eastAsia="Times New Roman" w:hAnsi="Times New Roman" w:cs="Times New Roman"/>
          <w:b/>
          <w:bCs/>
          <w:color w:val="000000" w:themeColor="text1"/>
          <w:bdr w:val="none" w:sz="0" w:space="0" w:color="auto" w:frame="1"/>
          <w:shd w:val="clear" w:color="auto" w:fill="C6C6C6"/>
        </w:rPr>
      </w:pPr>
      <w:r>
        <w:rPr>
          <w:rFonts w:ascii="Times New Roman" w:eastAsia="Times New Roman" w:hAnsi="Times New Roman" w:cs="Times New Roman"/>
          <w:b/>
          <w:bCs/>
          <w:color w:val="000000" w:themeColor="text1"/>
        </w:rPr>
        <w:t>5. Results</w:t>
      </w:r>
      <w:r>
        <w:rPr>
          <w:rFonts w:ascii="Times New Roman" w:eastAsia="Times New Roman" w:hAnsi="Times New Roman" w:cs="Times New Roman"/>
          <w:b/>
          <w:bCs/>
          <w:color w:val="000000" w:themeColor="text1"/>
          <w:bdr w:val="none" w:sz="0" w:space="0" w:color="auto" w:frame="1"/>
          <w:shd w:val="clear" w:color="auto" w:fill="C6C6C6"/>
        </w:rPr>
        <w:t> </w:t>
      </w:r>
    </w:p>
    <w:p w14:paraId="7653C6E0" w14:textId="77777777" w:rsidR="00802FE9" w:rsidRPr="009C4D05" w:rsidRDefault="00802FE9" w:rsidP="009C4D05">
      <w:pPr>
        <w:spacing w:after="0"/>
        <w:textAlignment w:val="baseline"/>
        <w:rPr>
          <w:rFonts w:ascii="Times New Roman" w:eastAsia="Times New Roman" w:hAnsi="Times New Roman" w:cs="Times New Roman"/>
          <w:b/>
          <w:bCs/>
          <w:color w:val="000000" w:themeColor="text1"/>
        </w:rPr>
      </w:pPr>
    </w:p>
    <w:p w14:paraId="27C9CB77" w14:textId="00D25FB2" w:rsidR="00653AF2" w:rsidRDefault="008B60B5">
      <w:pPr>
        <w:spacing w:after="0"/>
        <w:textAlignment w:val="baseline"/>
      </w:pPr>
      <w:r>
        <w:rPr>
          <w:rFonts w:ascii="Times New Roman" w:eastAsia="Times New Roman" w:hAnsi="Times New Roman" w:cs="Times New Roman"/>
          <w:color w:val="000000" w:themeColor="text1"/>
        </w:rPr>
        <w:t xml:space="preserve">Before reporting the substrate-heterogeneity results, Table 1 presents the baseline team diagnostic accuracy by substrate composition across all three networks. The substrate ordering is consistent: </w:t>
      </w:r>
      <w:r w:rsidR="009C5498">
        <w:rPr>
          <w:rFonts w:ascii="Times New Roman" w:eastAsia="Times New Roman" w:hAnsi="Times New Roman" w:cs="Times New Roman"/>
          <w:color w:val="000000" w:themeColor="text1"/>
        </w:rPr>
        <w:t>the tree outlier degrades accuracy on every network (quality-loss force dominates), whereas the</w:t>
      </w:r>
      <w:r>
        <w:rPr>
          <w:rFonts w:ascii="Times New Roman" w:eastAsia="Times New Roman" w:hAnsi="Times New Roman" w:cs="Times New Roman"/>
          <w:color w:val="000000" w:themeColor="text1"/>
        </w:rPr>
        <w:t xml:space="preserve"> Markov outlier leaves accuracy roughly unchanged or slightly improved (the two forces balance). ALARM (0.787 under matched BBN) sits between the two 17-node networks, consistent with its larger inference surface</w:t>
      </w:r>
      <w:r w:rsidR="009C5498">
        <w:rPr>
          <w:rFonts w:ascii="Times New Roman" w:eastAsia="Times New Roman" w:hAnsi="Times New Roman" w:cs="Times New Roman"/>
          <w:color w:val="000000" w:themeColor="text1"/>
        </w:rPr>
        <w:t>, which offers</w:t>
      </w:r>
      <w:r>
        <w:rPr>
          <w:rFonts w:ascii="Times New Roman" w:eastAsia="Times New Roman" w:hAnsi="Times New Roman" w:cs="Times New Roman"/>
          <w:color w:val="000000" w:themeColor="text1"/>
        </w:rPr>
        <w:t xml:space="preserve"> more structural information despite greater complexity. These baselines set the scale for interpreting the substrate gaps reported below.</w:t>
      </w:r>
    </w:p>
    <w:p w14:paraId="038F5F76" w14:textId="77777777" w:rsidR="00653AF2" w:rsidRDefault="008B60B5">
      <w:pPr>
        <w:spacing w:after="0"/>
        <w:textAlignment w:val="baseline"/>
      </w:pPr>
      <w:r>
        <w:rPr>
          <w:rFonts w:ascii="Times New Roman" w:eastAsia="Times New Roman" w:hAnsi="Times New Roman" w:cs="Times New Roman"/>
          <w:b/>
          <w:bCs/>
          <w:color w:val="000000" w:themeColor="text1"/>
        </w:rPr>
        <w:t>Table 1. Team diagnostic accuracy by substrate composition (aware projection, N=3).</w:t>
      </w:r>
    </w:p>
    <w:tbl>
      <w:tblPr>
        <w:tblStyle w:val="TableGrid"/>
        <w:tblW w:w="8400" w:type="dxa"/>
        <w:tblLayout w:type="fixed"/>
        <w:tblLook w:val="04A0" w:firstRow="1" w:lastRow="0" w:firstColumn="1" w:lastColumn="0" w:noHBand="0" w:noVBand="1"/>
      </w:tblPr>
      <w:tblGrid>
        <w:gridCol w:w="2000"/>
        <w:gridCol w:w="1600"/>
        <w:gridCol w:w="1600"/>
        <w:gridCol w:w="1600"/>
        <w:gridCol w:w="1600"/>
      </w:tblGrid>
      <w:tr w:rsidR="00653AF2" w14:paraId="431573C6" w14:textId="77777777">
        <w:tc>
          <w:tcPr>
            <w:tcW w:w="2000" w:type="dxa"/>
          </w:tcPr>
          <w:p w14:paraId="2E4DF36E" w14:textId="77777777" w:rsidR="00653AF2" w:rsidRDefault="008B60B5">
            <w:r>
              <w:rPr>
                <w:rFonts w:ascii="Times New Roman" w:eastAsia="Times New Roman" w:hAnsi="Times New Roman" w:cs="Times New Roman"/>
                <w:b/>
                <w:bCs/>
                <w:color w:val="000000" w:themeColor="text1"/>
              </w:rPr>
              <w:t>Composition</w:t>
            </w:r>
          </w:p>
        </w:tc>
        <w:tc>
          <w:tcPr>
            <w:tcW w:w="1600" w:type="dxa"/>
          </w:tcPr>
          <w:p w14:paraId="7F809A53" w14:textId="77777777" w:rsidR="00653AF2" w:rsidRDefault="008B60B5">
            <w:r>
              <w:rPr>
                <w:rFonts w:ascii="Times New Roman" w:eastAsia="Times New Roman" w:hAnsi="Times New Roman" w:cs="Times New Roman"/>
                <w:b/>
                <w:bCs/>
                <w:color w:val="000000" w:themeColor="text1"/>
              </w:rPr>
              <w:t>Domain17</w:t>
            </w:r>
          </w:p>
        </w:tc>
        <w:tc>
          <w:tcPr>
            <w:tcW w:w="1600" w:type="dxa"/>
          </w:tcPr>
          <w:p w14:paraId="03AD5A6B" w14:textId="77777777" w:rsidR="00653AF2" w:rsidRDefault="008B60B5">
            <w:r>
              <w:rPr>
                <w:rFonts w:ascii="Times New Roman" w:eastAsia="Times New Roman" w:hAnsi="Times New Roman" w:cs="Times New Roman"/>
                <w:b/>
                <w:bCs/>
                <w:color w:val="000000" w:themeColor="text1"/>
              </w:rPr>
              <w:t>Kanno</w:t>
            </w:r>
          </w:p>
        </w:tc>
        <w:tc>
          <w:tcPr>
            <w:tcW w:w="1600" w:type="dxa"/>
          </w:tcPr>
          <w:p w14:paraId="2C725C84" w14:textId="77777777" w:rsidR="00653AF2" w:rsidRDefault="008B60B5">
            <w:r>
              <w:rPr>
                <w:rFonts w:ascii="Times New Roman" w:eastAsia="Times New Roman" w:hAnsi="Times New Roman" w:cs="Times New Roman"/>
                <w:b/>
                <w:bCs/>
                <w:color w:val="000000" w:themeColor="text1"/>
              </w:rPr>
              <w:t>ALARM</w:t>
            </w:r>
          </w:p>
        </w:tc>
        <w:tc>
          <w:tcPr>
            <w:tcW w:w="1600" w:type="dxa"/>
          </w:tcPr>
          <w:p w14:paraId="3A53FCC9" w14:textId="77777777" w:rsidR="00653AF2" w:rsidRDefault="008B60B5">
            <w:r>
              <w:rPr>
                <w:rFonts w:ascii="Times New Roman" w:eastAsia="Times New Roman" w:hAnsi="Times New Roman" w:cs="Times New Roman"/>
                <w:b/>
                <w:bCs/>
                <w:color w:val="000000" w:themeColor="text1"/>
              </w:rPr>
              <w:t>Mean</w:t>
            </w:r>
          </w:p>
        </w:tc>
      </w:tr>
      <w:tr w:rsidR="00653AF2" w14:paraId="6CB09E83" w14:textId="77777777">
        <w:tc>
          <w:tcPr>
            <w:tcW w:w="2000" w:type="dxa"/>
          </w:tcPr>
          <w:p w14:paraId="29075B15" w14:textId="77777777" w:rsidR="00653AF2" w:rsidRDefault="008B60B5">
            <w:r>
              <w:rPr>
                <w:rFonts w:ascii="Times New Roman" w:eastAsia="Times New Roman" w:hAnsi="Times New Roman" w:cs="Times New Roman"/>
                <w:color w:val="000000" w:themeColor="text1"/>
              </w:rPr>
              <w:t>BBN (matched)</w:t>
            </w:r>
          </w:p>
        </w:tc>
        <w:tc>
          <w:tcPr>
            <w:tcW w:w="1600" w:type="dxa"/>
          </w:tcPr>
          <w:p w14:paraId="1A3DFA8A" w14:textId="77777777" w:rsidR="00653AF2" w:rsidRDefault="008B60B5">
            <w:r>
              <w:rPr>
                <w:rFonts w:ascii="Times New Roman" w:eastAsia="Times New Roman" w:hAnsi="Times New Roman" w:cs="Times New Roman"/>
                <w:color w:val="000000" w:themeColor="text1"/>
              </w:rPr>
              <w:t>0.553</w:t>
            </w:r>
          </w:p>
        </w:tc>
        <w:tc>
          <w:tcPr>
            <w:tcW w:w="1600" w:type="dxa"/>
          </w:tcPr>
          <w:p w14:paraId="56C145AA" w14:textId="77777777" w:rsidR="00653AF2" w:rsidRDefault="008B60B5">
            <w:r>
              <w:rPr>
                <w:rFonts w:ascii="Times New Roman" w:eastAsia="Times New Roman" w:hAnsi="Times New Roman" w:cs="Times New Roman"/>
                <w:color w:val="000000" w:themeColor="text1"/>
              </w:rPr>
              <w:t>0.896</w:t>
            </w:r>
          </w:p>
        </w:tc>
        <w:tc>
          <w:tcPr>
            <w:tcW w:w="1600" w:type="dxa"/>
          </w:tcPr>
          <w:p w14:paraId="4F9A7A2D" w14:textId="77777777" w:rsidR="00653AF2" w:rsidRDefault="008B60B5">
            <w:r>
              <w:rPr>
                <w:rFonts w:ascii="Times New Roman" w:eastAsia="Times New Roman" w:hAnsi="Times New Roman" w:cs="Times New Roman"/>
                <w:color w:val="000000" w:themeColor="text1"/>
              </w:rPr>
              <w:t>0.787</w:t>
            </w:r>
          </w:p>
        </w:tc>
        <w:tc>
          <w:tcPr>
            <w:tcW w:w="1600" w:type="dxa"/>
          </w:tcPr>
          <w:p w14:paraId="744DEE01" w14:textId="77777777" w:rsidR="00653AF2" w:rsidRDefault="008B60B5">
            <w:r>
              <w:rPr>
                <w:rFonts w:ascii="Times New Roman" w:eastAsia="Times New Roman" w:hAnsi="Times New Roman" w:cs="Times New Roman"/>
                <w:color w:val="000000" w:themeColor="text1"/>
              </w:rPr>
              <w:t>0.745</w:t>
            </w:r>
          </w:p>
        </w:tc>
      </w:tr>
      <w:tr w:rsidR="00653AF2" w14:paraId="7ABFC0D8" w14:textId="77777777">
        <w:tc>
          <w:tcPr>
            <w:tcW w:w="2000" w:type="dxa"/>
          </w:tcPr>
          <w:p w14:paraId="4EBDF50F" w14:textId="77777777" w:rsidR="00653AF2" w:rsidRDefault="008B60B5">
            <w:r>
              <w:rPr>
                <w:rFonts w:ascii="Times New Roman" w:eastAsia="Times New Roman" w:hAnsi="Times New Roman" w:cs="Times New Roman"/>
                <w:color w:val="000000" w:themeColor="text1"/>
              </w:rPr>
              <w:t>Tree outlier</w:t>
            </w:r>
          </w:p>
        </w:tc>
        <w:tc>
          <w:tcPr>
            <w:tcW w:w="1600" w:type="dxa"/>
          </w:tcPr>
          <w:p w14:paraId="686F28D2" w14:textId="77777777" w:rsidR="00653AF2" w:rsidRDefault="008B60B5">
            <w:r>
              <w:rPr>
                <w:rFonts w:ascii="Times New Roman" w:eastAsia="Times New Roman" w:hAnsi="Times New Roman" w:cs="Times New Roman"/>
                <w:color w:val="000000" w:themeColor="text1"/>
              </w:rPr>
              <w:t>0.475</w:t>
            </w:r>
          </w:p>
        </w:tc>
        <w:tc>
          <w:tcPr>
            <w:tcW w:w="1600" w:type="dxa"/>
          </w:tcPr>
          <w:p w14:paraId="0B7E0178" w14:textId="77777777" w:rsidR="00653AF2" w:rsidRDefault="008B60B5">
            <w:r>
              <w:rPr>
                <w:rFonts w:ascii="Times New Roman" w:eastAsia="Times New Roman" w:hAnsi="Times New Roman" w:cs="Times New Roman"/>
                <w:color w:val="000000" w:themeColor="text1"/>
              </w:rPr>
              <w:t>0.843</w:t>
            </w:r>
          </w:p>
        </w:tc>
        <w:tc>
          <w:tcPr>
            <w:tcW w:w="1600" w:type="dxa"/>
          </w:tcPr>
          <w:p w14:paraId="7C0B11C3" w14:textId="77777777" w:rsidR="00653AF2" w:rsidRDefault="008B60B5">
            <w:r>
              <w:rPr>
                <w:rFonts w:ascii="Times New Roman" w:eastAsia="Times New Roman" w:hAnsi="Times New Roman" w:cs="Times New Roman"/>
                <w:color w:val="000000" w:themeColor="text1"/>
              </w:rPr>
              <w:t>0.762</w:t>
            </w:r>
          </w:p>
        </w:tc>
        <w:tc>
          <w:tcPr>
            <w:tcW w:w="1600" w:type="dxa"/>
          </w:tcPr>
          <w:p w14:paraId="4FB55662" w14:textId="77777777" w:rsidR="00653AF2" w:rsidRDefault="008B60B5">
            <w:r>
              <w:rPr>
                <w:rFonts w:ascii="Times New Roman" w:eastAsia="Times New Roman" w:hAnsi="Times New Roman" w:cs="Times New Roman"/>
                <w:color w:val="000000" w:themeColor="text1"/>
              </w:rPr>
              <w:t>0.693</w:t>
            </w:r>
          </w:p>
        </w:tc>
      </w:tr>
      <w:tr w:rsidR="00653AF2" w14:paraId="626DF36D" w14:textId="77777777">
        <w:tc>
          <w:tcPr>
            <w:tcW w:w="2000" w:type="dxa"/>
          </w:tcPr>
          <w:p w14:paraId="2956171B" w14:textId="77777777" w:rsidR="00653AF2" w:rsidRDefault="008B60B5">
            <w:r>
              <w:rPr>
                <w:rFonts w:ascii="Times New Roman" w:eastAsia="Times New Roman" w:hAnsi="Times New Roman" w:cs="Times New Roman"/>
                <w:color w:val="000000" w:themeColor="text1"/>
              </w:rPr>
              <w:t>Markov outlier</w:t>
            </w:r>
          </w:p>
        </w:tc>
        <w:tc>
          <w:tcPr>
            <w:tcW w:w="1600" w:type="dxa"/>
          </w:tcPr>
          <w:p w14:paraId="66C12B5E" w14:textId="77777777" w:rsidR="00653AF2" w:rsidRDefault="008B60B5">
            <w:r>
              <w:rPr>
                <w:rFonts w:ascii="Times New Roman" w:eastAsia="Times New Roman" w:hAnsi="Times New Roman" w:cs="Times New Roman"/>
                <w:color w:val="000000" w:themeColor="text1"/>
              </w:rPr>
              <w:t>0.571</w:t>
            </w:r>
          </w:p>
        </w:tc>
        <w:tc>
          <w:tcPr>
            <w:tcW w:w="1600" w:type="dxa"/>
          </w:tcPr>
          <w:p w14:paraId="1BA996B5" w14:textId="77777777" w:rsidR="00653AF2" w:rsidRDefault="008B60B5">
            <w:r>
              <w:rPr>
                <w:rFonts w:ascii="Times New Roman" w:eastAsia="Times New Roman" w:hAnsi="Times New Roman" w:cs="Times New Roman"/>
                <w:color w:val="000000" w:themeColor="text1"/>
              </w:rPr>
              <w:t>0.898</w:t>
            </w:r>
          </w:p>
        </w:tc>
        <w:tc>
          <w:tcPr>
            <w:tcW w:w="1600" w:type="dxa"/>
          </w:tcPr>
          <w:p w14:paraId="54076443" w14:textId="77777777" w:rsidR="00653AF2" w:rsidRDefault="008B60B5">
            <w:r>
              <w:rPr>
                <w:rFonts w:ascii="Times New Roman" w:eastAsia="Times New Roman" w:hAnsi="Times New Roman" w:cs="Times New Roman"/>
                <w:color w:val="000000" w:themeColor="text1"/>
              </w:rPr>
              <w:t>0.757</w:t>
            </w:r>
          </w:p>
        </w:tc>
        <w:tc>
          <w:tcPr>
            <w:tcW w:w="1600" w:type="dxa"/>
          </w:tcPr>
          <w:p w14:paraId="3A9E3542" w14:textId="77777777" w:rsidR="00653AF2" w:rsidRDefault="008B60B5">
            <w:r>
              <w:rPr>
                <w:rFonts w:ascii="Times New Roman" w:eastAsia="Times New Roman" w:hAnsi="Times New Roman" w:cs="Times New Roman"/>
                <w:color w:val="000000" w:themeColor="text1"/>
              </w:rPr>
              <w:t>0.742</w:t>
            </w:r>
          </w:p>
        </w:tc>
      </w:tr>
    </w:tbl>
    <w:p w14:paraId="2F207D42" w14:textId="77777777" w:rsidR="00653AF2" w:rsidRDefault="00653AF2">
      <w:pPr>
        <w:spacing w:after="0"/>
        <w:textAlignment w:val="baseline"/>
      </w:pPr>
    </w:p>
    <w:p w14:paraId="715899A7" w14:textId="77777777" w:rsidR="009C4D05" w:rsidRDefault="009C4D05" w:rsidP="009C4D05">
      <w:pPr>
        <w:spacing w:after="0"/>
        <w:textAlignment w:val="baseline"/>
        <w:rPr>
          <w:rFonts w:ascii="Times New Roman" w:eastAsia="Times New Roman" w:hAnsi="Times New Roman" w:cs="Times New Roman"/>
          <w:b/>
          <w:bCs/>
          <w:color w:val="000000" w:themeColor="text1"/>
          <w:bdr w:val="none" w:sz="0" w:space="0" w:color="auto" w:frame="1"/>
          <w:shd w:val="clear" w:color="auto" w:fill="C6C6C6"/>
        </w:rPr>
      </w:pPr>
      <w:r>
        <w:rPr>
          <w:rFonts w:ascii="Times New Roman" w:eastAsia="Times New Roman" w:hAnsi="Times New Roman" w:cs="Times New Roman"/>
          <w:b/>
          <w:bCs/>
          <w:color w:val="000000" w:themeColor="text1"/>
        </w:rPr>
        <w:t xml:space="preserve">5.1 Substrate gap </w:t>
      </w:r>
    </w:p>
    <w:p w14:paraId="6F0B9F04" w14:textId="77777777" w:rsidR="00802FE9" w:rsidRPr="009C4D05" w:rsidRDefault="00802FE9" w:rsidP="009C4D05">
      <w:pPr>
        <w:spacing w:after="0"/>
        <w:textAlignment w:val="baseline"/>
        <w:rPr>
          <w:rFonts w:ascii="Times New Roman" w:eastAsia="Times New Roman" w:hAnsi="Times New Roman" w:cs="Times New Roman"/>
          <w:b/>
          <w:bCs/>
          <w:color w:val="000000" w:themeColor="text1"/>
        </w:rPr>
      </w:pPr>
    </w:p>
    <w:p w14:paraId="2BE04654" w14:textId="2F00A8F6"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t xml:space="preserve">Table 2 </w:t>
      </w:r>
      <w:proofErr w:type="gramStart"/>
      <w:r>
        <w:rPr>
          <w:rFonts w:ascii="Times New Roman" w:eastAsia="Times New Roman" w:hAnsi="Times New Roman" w:cs="Times New Roman"/>
          <w:color w:val="000000" w:themeColor="text1"/>
        </w:rPr>
        <w:t>reports</w:t>
      </w:r>
      <w:proofErr w:type="gramEnd"/>
      <w:r>
        <w:rPr>
          <w:rFonts w:ascii="Times New Roman" w:eastAsia="Times New Roman" w:hAnsi="Times New Roman" w:cs="Times New Roman"/>
          <w:color w:val="000000" w:themeColor="text1"/>
        </w:rPr>
        <w:t xml:space="preserve"> the substrate gap and aware gap by (network, axis) condition, aggregated across the eight hard scenarios per network. The two 17-node networks (Kanno, Domain17) were run at N=15 replicates per (scenario, cell); the 37-node ALARM network was run at N=5 replicates per (scenario, cell) — a deliberate reduction reflecting ALARM’s role as a scale-expansion validation rather than a primary result, where the aim is to establish sign consistency and mechanism preservation rather than to tighten confidence intervals already known from the smaller networks.</w:t>
      </w:r>
      <w:r>
        <w:rPr>
          <w:rFonts w:ascii="Times New Roman" w:eastAsia="Times New Roman" w:hAnsi="Times New Roman" w:cs="Times New Roman"/>
          <w:color w:val="000000" w:themeColor="text1"/>
          <w:bdr w:val="none" w:sz="0" w:space="0" w:color="auto" w:frame="1"/>
          <w:shd w:val="clear" w:color="auto" w:fill="C6C6C6"/>
        </w:rPr>
        <w:t> </w:t>
      </w:r>
    </w:p>
    <w:p w14:paraId="6AE77515" w14:textId="77777777" w:rsidR="00F85E83" w:rsidRPr="009C4D05" w:rsidRDefault="00F85E83" w:rsidP="009C4D05">
      <w:pPr>
        <w:spacing w:after="0"/>
        <w:textAlignment w:val="baseline"/>
        <w:rPr>
          <w:rFonts w:ascii="Times New Roman" w:eastAsia="Times New Roman" w:hAnsi="Times New Roman" w:cs="Times New Roman"/>
          <w:color w:val="000000" w:themeColor="text1"/>
        </w:rPr>
      </w:pPr>
    </w:p>
    <w:p w14:paraId="78C8F13B" w14:textId="44795E7F" w:rsidR="00802FE9" w:rsidRDefault="009C4D05" w:rsidP="009C4D05">
      <w:pPr>
        <w:spacing w:after="0"/>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Table 2. Aggregate substrate and aware gaps.</w:t>
      </w:r>
    </w:p>
    <w:p w14:paraId="4FDB5859" w14:textId="77777777" w:rsidR="009C4D05" w:rsidRPr="00802FE9" w:rsidRDefault="009C4D05" w:rsidP="009C4D05">
      <w:pPr>
        <w:spacing w:after="0"/>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bdr w:val="none" w:sz="0" w:space="0" w:color="auto" w:frame="1"/>
          <w:shd w:val="clear" w:color="auto" w:fill="C6C6C6"/>
        </w:rPr>
        <w:t> </w:t>
      </w:r>
    </w:p>
    <w:tbl>
      <w:tblPr>
        <w:tblStyle w:val="TableGrid"/>
        <w:tblW w:w="9715" w:type="dxa"/>
        <w:tblLayout w:type="fixed"/>
        <w:tblLook w:val="04A0" w:firstRow="1" w:lastRow="0" w:firstColumn="1" w:lastColumn="0" w:noHBand="0" w:noVBand="1"/>
      </w:tblPr>
      <w:tblGrid>
        <w:gridCol w:w="1290"/>
        <w:gridCol w:w="516"/>
        <w:gridCol w:w="1775"/>
        <w:gridCol w:w="1274"/>
        <w:gridCol w:w="1620"/>
        <w:gridCol w:w="1846"/>
        <w:gridCol w:w="1394"/>
      </w:tblGrid>
      <w:tr w:rsidR="009C4D05" w:rsidRPr="009C4D05" w14:paraId="2D260D04" w14:textId="77777777" w:rsidTr="003D69C3">
        <w:trPr>
          <w:trHeight w:val="300"/>
          <w:tblHeader/>
        </w:trPr>
        <w:tc>
          <w:tcPr>
            <w:tcW w:w="1290" w:type="dxa"/>
            <w:hideMark/>
          </w:tcPr>
          <w:p w14:paraId="2CD9282C" w14:textId="77777777" w:rsidR="009C4D05" w:rsidRPr="00802FE9"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lastRenderedPageBreak/>
              <w:t>Network </w:t>
            </w:r>
          </w:p>
        </w:tc>
        <w:tc>
          <w:tcPr>
            <w:tcW w:w="516" w:type="dxa"/>
            <w:hideMark/>
          </w:tcPr>
          <w:p w14:paraId="21E6F1A9" w14:textId="77777777" w:rsidR="009C4D05" w:rsidRPr="00802FE9"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N </w:t>
            </w:r>
          </w:p>
        </w:tc>
        <w:tc>
          <w:tcPr>
            <w:tcW w:w="1775" w:type="dxa"/>
            <w:hideMark/>
          </w:tcPr>
          <w:p w14:paraId="33D1936C" w14:textId="77777777" w:rsidR="009C4D05" w:rsidRPr="00802FE9"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Mismatch axis </w:t>
            </w:r>
          </w:p>
        </w:tc>
        <w:tc>
          <w:tcPr>
            <w:tcW w:w="1274" w:type="dxa"/>
            <w:hideMark/>
          </w:tcPr>
          <w:p w14:paraId="0A116477" w14:textId="0998A3EA" w:rsidR="009C4D05" w:rsidRPr="00802FE9"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Substrate gap (m-a − mm-a) </w:t>
            </w:r>
          </w:p>
        </w:tc>
        <w:tc>
          <w:tcPr>
            <w:tcW w:w="1620" w:type="dxa"/>
            <w:hideMark/>
          </w:tcPr>
          <w:p w14:paraId="5847CE9E" w14:textId="355D2B5B" w:rsidR="009C4D05" w:rsidRPr="00802FE9"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 p</w:t>
            </w:r>
          </w:p>
        </w:tc>
        <w:tc>
          <w:tcPr>
            <w:tcW w:w="1846" w:type="dxa"/>
            <w:hideMark/>
          </w:tcPr>
          <w:p w14:paraId="3A934690" w14:textId="77777777" w:rsidR="00D5243B"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Positive </w:t>
            </w:r>
          </w:p>
          <w:p w14:paraId="55CE75BD" w14:textId="7DC2F08D" w:rsidR="009C4D05" w:rsidRPr="00802FE9"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scenarios </w:t>
            </w:r>
          </w:p>
        </w:tc>
        <w:tc>
          <w:tcPr>
            <w:tcW w:w="1394" w:type="dxa"/>
            <w:hideMark/>
          </w:tcPr>
          <w:p w14:paraId="6C87B48A" w14:textId="77777777" w:rsidR="009C4D05" w:rsidRPr="00802FE9"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Aware gap (mm-a − mm-n) </w:t>
            </w:r>
          </w:p>
        </w:tc>
      </w:tr>
      <w:tr w:rsidR="009C4D05" w:rsidRPr="009C4D05" w14:paraId="68DD8AE7" w14:textId="77777777" w:rsidTr="003D69C3">
        <w:trPr>
          <w:trHeight w:val="300"/>
          <w:tblHeader/>
        </w:trPr>
        <w:tc>
          <w:tcPr>
            <w:tcW w:w="1290" w:type="dxa"/>
            <w:hideMark/>
          </w:tcPr>
          <w:p w14:paraId="27CE2819" w14:textId="77777777" w:rsidR="009C4D05" w:rsidRPr="00802FE9"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Domain17 </w:t>
            </w:r>
          </w:p>
        </w:tc>
        <w:tc>
          <w:tcPr>
            <w:tcW w:w="516" w:type="dxa"/>
            <w:hideMark/>
          </w:tcPr>
          <w:p w14:paraId="2AE51229"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15 </w:t>
            </w:r>
          </w:p>
        </w:tc>
        <w:tc>
          <w:tcPr>
            <w:tcW w:w="1775" w:type="dxa"/>
            <w:hideMark/>
          </w:tcPr>
          <w:p w14:paraId="30F688E2"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tree </w:t>
            </w:r>
          </w:p>
        </w:tc>
        <w:tc>
          <w:tcPr>
            <w:tcW w:w="1274" w:type="dxa"/>
            <w:hideMark/>
          </w:tcPr>
          <w:p w14:paraId="7CEE25B5"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+0.077 </w:t>
            </w:r>
          </w:p>
        </w:tc>
        <w:tc>
          <w:tcPr>
            <w:tcW w:w="1620" w:type="dxa"/>
            <w:hideMark/>
          </w:tcPr>
          <w:p w14:paraId="57298843"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+7.24, &lt;0.001 </w:t>
            </w:r>
          </w:p>
        </w:tc>
        <w:tc>
          <w:tcPr>
            <w:tcW w:w="1846" w:type="dxa"/>
            <w:hideMark/>
          </w:tcPr>
          <w:p w14:paraId="6F5D67C0"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8/8 </w:t>
            </w:r>
          </w:p>
        </w:tc>
        <w:tc>
          <w:tcPr>
            <w:tcW w:w="1394" w:type="dxa"/>
            <w:hideMark/>
          </w:tcPr>
          <w:p w14:paraId="6D6222CA"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−0.020 </w:t>
            </w:r>
          </w:p>
        </w:tc>
      </w:tr>
      <w:tr w:rsidR="009C4D05" w:rsidRPr="009C4D05" w14:paraId="0C209E7D" w14:textId="77777777" w:rsidTr="003D69C3">
        <w:trPr>
          <w:trHeight w:val="300"/>
          <w:tblHeader/>
        </w:trPr>
        <w:tc>
          <w:tcPr>
            <w:tcW w:w="1290" w:type="dxa"/>
            <w:hideMark/>
          </w:tcPr>
          <w:p w14:paraId="1626B2F0" w14:textId="77777777" w:rsidR="009C4D05" w:rsidRPr="00802FE9"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Kanno </w:t>
            </w:r>
          </w:p>
        </w:tc>
        <w:tc>
          <w:tcPr>
            <w:tcW w:w="516" w:type="dxa"/>
            <w:hideMark/>
          </w:tcPr>
          <w:p w14:paraId="65AB4DB1"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15 </w:t>
            </w:r>
          </w:p>
        </w:tc>
        <w:tc>
          <w:tcPr>
            <w:tcW w:w="1775" w:type="dxa"/>
            <w:hideMark/>
          </w:tcPr>
          <w:p w14:paraId="77D07B74"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tree </w:t>
            </w:r>
          </w:p>
        </w:tc>
        <w:tc>
          <w:tcPr>
            <w:tcW w:w="1274" w:type="dxa"/>
            <w:hideMark/>
          </w:tcPr>
          <w:p w14:paraId="141D1086"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+0.053 </w:t>
            </w:r>
          </w:p>
        </w:tc>
        <w:tc>
          <w:tcPr>
            <w:tcW w:w="1620" w:type="dxa"/>
            <w:hideMark/>
          </w:tcPr>
          <w:p w14:paraId="3A0F9010"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+5.53, 0.001 </w:t>
            </w:r>
          </w:p>
        </w:tc>
        <w:tc>
          <w:tcPr>
            <w:tcW w:w="1846" w:type="dxa"/>
            <w:hideMark/>
          </w:tcPr>
          <w:p w14:paraId="0216962D"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8/8 </w:t>
            </w:r>
          </w:p>
        </w:tc>
        <w:tc>
          <w:tcPr>
            <w:tcW w:w="1394" w:type="dxa"/>
            <w:hideMark/>
          </w:tcPr>
          <w:p w14:paraId="378BE017"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+0.023 </w:t>
            </w:r>
          </w:p>
        </w:tc>
      </w:tr>
      <w:tr w:rsidR="009C4D05" w:rsidRPr="009C4D05" w14:paraId="24A75A43" w14:textId="77777777" w:rsidTr="003D69C3">
        <w:trPr>
          <w:trHeight w:val="300"/>
          <w:tblHeader/>
        </w:trPr>
        <w:tc>
          <w:tcPr>
            <w:tcW w:w="1290" w:type="dxa"/>
            <w:hideMark/>
          </w:tcPr>
          <w:p w14:paraId="5A6CDA81" w14:textId="77777777" w:rsidR="009C4D05" w:rsidRPr="00802FE9"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ALARM </w:t>
            </w:r>
          </w:p>
        </w:tc>
        <w:tc>
          <w:tcPr>
            <w:tcW w:w="516" w:type="dxa"/>
            <w:hideMark/>
          </w:tcPr>
          <w:p w14:paraId="1D077071"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5 </w:t>
            </w:r>
          </w:p>
        </w:tc>
        <w:tc>
          <w:tcPr>
            <w:tcW w:w="1775" w:type="dxa"/>
            <w:hideMark/>
          </w:tcPr>
          <w:p w14:paraId="41714FE7"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tree </w:t>
            </w:r>
          </w:p>
        </w:tc>
        <w:tc>
          <w:tcPr>
            <w:tcW w:w="1274" w:type="dxa"/>
            <w:hideMark/>
          </w:tcPr>
          <w:p w14:paraId="33133B3E"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+0.024 </w:t>
            </w:r>
          </w:p>
        </w:tc>
        <w:tc>
          <w:tcPr>
            <w:tcW w:w="1620" w:type="dxa"/>
            <w:hideMark/>
          </w:tcPr>
          <w:p w14:paraId="03D489B3"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+2.15, 0.069 </w:t>
            </w:r>
          </w:p>
        </w:tc>
        <w:tc>
          <w:tcPr>
            <w:tcW w:w="1846" w:type="dxa"/>
            <w:hideMark/>
          </w:tcPr>
          <w:p w14:paraId="0BB35925"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6/8 </w:t>
            </w:r>
          </w:p>
        </w:tc>
        <w:tc>
          <w:tcPr>
            <w:tcW w:w="1394" w:type="dxa"/>
            <w:hideMark/>
          </w:tcPr>
          <w:p w14:paraId="7A6F8DFF"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+0.001 </w:t>
            </w:r>
          </w:p>
        </w:tc>
      </w:tr>
      <w:tr w:rsidR="009C4D05" w:rsidRPr="009C4D05" w14:paraId="0F076988" w14:textId="77777777" w:rsidTr="003D69C3">
        <w:trPr>
          <w:trHeight w:val="300"/>
          <w:tblHeader/>
        </w:trPr>
        <w:tc>
          <w:tcPr>
            <w:tcW w:w="1290" w:type="dxa"/>
            <w:hideMark/>
          </w:tcPr>
          <w:p w14:paraId="433E8219" w14:textId="77777777" w:rsidR="009C4D05" w:rsidRPr="00802FE9"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Domain17 </w:t>
            </w:r>
          </w:p>
        </w:tc>
        <w:tc>
          <w:tcPr>
            <w:tcW w:w="516" w:type="dxa"/>
            <w:hideMark/>
          </w:tcPr>
          <w:p w14:paraId="5011D70B"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15 </w:t>
            </w:r>
          </w:p>
        </w:tc>
        <w:tc>
          <w:tcPr>
            <w:tcW w:w="1775" w:type="dxa"/>
            <w:hideMark/>
          </w:tcPr>
          <w:p w14:paraId="5773924B" w14:textId="77777777" w:rsidR="009C4D05" w:rsidRPr="009C4D05" w:rsidRDefault="009C4D05" w:rsidP="009C4D05">
            <w:pPr>
              <w:textAlignment w:val="baseline"/>
              <w:rPr>
                <w:rFonts w:ascii="Times New Roman" w:eastAsia="Times New Roman" w:hAnsi="Times New Roman" w:cs="Times New Roman"/>
                <w:color w:val="000000" w:themeColor="text1"/>
              </w:rPr>
            </w:pPr>
            <w:proofErr w:type="spellStart"/>
            <w:r>
              <w:rPr>
                <w:rFonts w:ascii="Times New Roman" w:eastAsia="Times New Roman" w:hAnsi="Times New Roman" w:cs="Times New Roman"/>
                <w:color w:val="000000" w:themeColor="text1"/>
              </w:rPr>
              <w:t>markov</w:t>
            </w:r>
            <w:proofErr w:type="spellEnd"/>
          </w:p>
        </w:tc>
        <w:tc>
          <w:tcPr>
            <w:tcW w:w="1274" w:type="dxa"/>
            <w:hideMark/>
          </w:tcPr>
          <w:p w14:paraId="07C02429"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−0.019 </w:t>
            </w:r>
          </w:p>
        </w:tc>
        <w:tc>
          <w:tcPr>
            <w:tcW w:w="1620" w:type="dxa"/>
            <w:hideMark/>
          </w:tcPr>
          <w:p w14:paraId="7137F55C"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−0.95, 0.37 </w:t>
            </w:r>
          </w:p>
        </w:tc>
        <w:tc>
          <w:tcPr>
            <w:tcW w:w="1846" w:type="dxa"/>
            <w:hideMark/>
          </w:tcPr>
          <w:p w14:paraId="0ACCBAAB"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3/8 </w:t>
            </w:r>
          </w:p>
        </w:tc>
        <w:tc>
          <w:tcPr>
            <w:tcW w:w="1394" w:type="dxa"/>
            <w:hideMark/>
          </w:tcPr>
          <w:p w14:paraId="6B21E97E"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+0.017 </w:t>
            </w:r>
          </w:p>
        </w:tc>
      </w:tr>
      <w:tr w:rsidR="009C4D05" w:rsidRPr="009C4D05" w14:paraId="24B9E231" w14:textId="77777777" w:rsidTr="003D69C3">
        <w:trPr>
          <w:trHeight w:val="300"/>
          <w:tblHeader/>
        </w:trPr>
        <w:tc>
          <w:tcPr>
            <w:tcW w:w="1290" w:type="dxa"/>
            <w:hideMark/>
          </w:tcPr>
          <w:p w14:paraId="2A684978" w14:textId="77777777" w:rsidR="009C4D05" w:rsidRPr="00802FE9"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Kanno </w:t>
            </w:r>
          </w:p>
        </w:tc>
        <w:tc>
          <w:tcPr>
            <w:tcW w:w="516" w:type="dxa"/>
            <w:hideMark/>
          </w:tcPr>
          <w:p w14:paraId="7DD749DF"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15 </w:t>
            </w:r>
          </w:p>
        </w:tc>
        <w:tc>
          <w:tcPr>
            <w:tcW w:w="1775" w:type="dxa"/>
            <w:hideMark/>
          </w:tcPr>
          <w:p w14:paraId="4739E294" w14:textId="77777777" w:rsidR="009C4D05" w:rsidRPr="009C4D05" w:rsidRDefault="009C4D05" w:rsidP="009C4D05">
            <w:pPr>
              <w:textAlignment w:val="baseline"/>
              <w:rPr>
                <w:rFonts w:ascii="Times New Roman" w:eastAsia="Times New Roman" w:hAnsi="Times New Roman" w:cs="Times New Roman"/>
                <w:color w:val="000000" w:themeColor="text1"/>
              </w:rPr>
            </w:pPr>
            <w:proofErr w:type="spellStart"/>
            <w:r>
              <w:rPr>
                <w:rFonts w:ascii="Times New Roman" w:eastAsia="Times New Roman" w:hAnsi="Times New Roman" w:cs="Times New Roman"/>
                <w:color w:val="000000" w:themeColor="text1"/>
              </w:rPr>
              <w:t>markov</w:t>
            </w:r>
            <w:proofErr w:type="spellEnd"/>
          </w:p>
        </w:tc>
        <w:tc>
          <w:tcPr>
            <w:tcW w:w="1274" w:type="dxa"/>
            <w:hideMark/>
          </w:tcPr>
          <w:p w14:paraId="12B61745"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−0.002 </w:t>
            </w:r>
          </w:p>
        </w:tc>
        <w:tc>
          <w:tcPr>
            <w:tcW w:w="1620" w:type="dxa"/>
            <w:hideMark/>
          </w:tcPr>
          <w:p w14:paraId="6EA75AD3"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−0.29, 0.78 </w:t>
            </w:r>
          </w:p>
        </w:tc>
        <w:tc>
          <w:tcPr>
            <w:tcW w:w="1846" w:type="dxa"/>
            <w:hideMark/>
          </w:tcPr>
          <w:p w14:paraId="255449AA"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4/8 </w:t>
            </w:r>
          </w:p>
        </w:tc>
        <w:tc>
          <w:tcPr>
            <w:tcW w:w="1394" w:type="dxa"/>
            <w:hideMark/>
          </w:tcPr>
          <w:p w14:paraId="2D9ABFB9"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+0.004 </w:t>
            </w:r>
          </w:p>
        </w:tc>
      </w:tr>
      <w:tr w:rsidR="009C4D05" w:rsidRPr="009C4D05" w14:paraId="334C3ED5" w14:textId="77777777" w:rsidTr="003D69C3">
        <w:trPr>
          <w:trHeight w:val="300"/>
          <w:tblHeader/>
        </w:trPr>
        <w:tc>
          <w:tcPr>
            <w:tcW w:w="1290" w:type="dxa"/>
            <w:hideMark/>
          </w:tcPr>
          <w:p w14:paraId="0A273E4E" w14:textId="77777777" w:rsidR="009C4D05" w:rsidRPr="00802FE9"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ALARM </w:t>
            </w:r>
          </w:p>
        </w:tc>
        <w:tc>
          <w:tcPr>
            <w:tcW w:w="516" w:type="dxa"/>
            <w:hideMark/>
          </w:tcPr>
          <w:p w14:paraId="1E8DFB46"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5 </w:t>
            </w:r>
          </w:p>
        </w:tc>
        <w:tc>
          <w:tcPr>
            <w:tcW w:w="1775" w:type="dxa"/>
            <w:hideMark/>
          </w:tcPr>
          <w:p w14:paraId="47ED641A" w14:textId="77777777" w:rsidR="009C4D05" w:rsidRPr="009C4D05" w:rsidRDefault="009C4D05" w:rsidP="009C4D05">
            <w:pPr>
              <w:textAlignment w:val="baseline"/>
              <w:rPr>
                <w:rFonts w:ascii="Times New Roman" w:eastAsia="Times New Roman" w:hAnsi="Times New Roman" w:cs="Times New Roman"/>
                <w:color w:val="000000" w:themeColor="text1"/>
              </w:rPr>
            </w:pPr>
            <w:proofErr w:type="spellStart"/>
            <w:r>
              <w:rPr>
                <w:rFonts w:ascii="Times New Roman" w:eastAsia="Times New Roman" w:hAnsi="Times New Roman" w:cs="Times New Roman"/>
                <w:color w:val="000000" w:themeColor="text1"/>
              </w:rPr>
              <w:t>markov</w:t>
            </w:r>
            <w:proofErr w:type="spellEnd"/>
          </w:p>
        </w:tc>
        <w:tc>
          <w:tcPr>
            <w:tcW w:w="1274" w:type="dxa"/>
            <w:hideMark/>
          </w:tcPr>
          <w:p w14:paraId="792611B5"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+0.008 </w:t>
            </w:r>
          </w:p>
        </w:tc>
        <w:tc>
          <w:tcPr>
            <w:tcW w:w="1620" w:type="dxa"/>
            <w:hideMark/>
          </w:tcPr>
          <w:p w14:paraId="44824BE8"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+0.52, 0.62 </w:t>
            </w:r>
          </w:p>
        </w:tc>
        <w:tc>
          <w:tcPr>
            <w:tcW w:w="1846" w:type="dxa"/>
            <w:hideMark/>
          </w:tcPr>
          <w:p w14:paraId="55A6E68F"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4/8 </w:t>
            </w:r>
          </w:p>
        </w:tc>
        <w:tc>
          <w:tcPr>
            <w:tcW w:w="1394" w:type="dxa"/>
            <w:hideMark/>
          </w:tcPr>
          <w:p w14:paraId="7EE7EFA3" w14:textId="77777777" w:rsid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−0.001 </w:t>
            </w:r>
          </w:p>
          <w:p w14:paraId="22E12B70" w14:textId="77777777" w:rsidR="00802FE9" w:rsidRPr="009C4D05" w:rsidRDefault="00802FE9" w:rsidP="009C4D05">
            <w:pPr>
              <w:textAlignment w:val="baseline"/>
              <w:rPr>
                <w:rFonts w:ascii="Times New Roman" w:eastAsia="Times New Roman" w:hAnsi="Times New Roman" w:cs="Times New Roman"/>
                <w:color w:val="000000" w:themeColor="text1"/>
              </w:rPr>
            </w:pPr>
          </w:p>
        </w:tc>
      </w:tr>
    </w:tbl>
    <w:p w14:paraId="0F132E60" w14:textId="77777777" w:rsidR="00802FE9" w:rsidRDefault="00802FE9" w:rsidP="009C4D05">
      <w:pPr>
        <w:spacing w:after="0"/>
        <w:textAlignment w:val="baseline"/>
        <w:rPr>
          <w:rFonts w:ascii="Times New Roman" w:eastAsia="Times New Roman" w:hAnsi="Times New Roman" w:cs="Times New Roman"/>
          <w:color w:val="000000" w:themeColor="text1"/>
        </w:rPr>
      </w:pPr>
    </w:p>
    <w:p w14:paraId="6DE6C6CE" w14:textId="68D79F5F" w:rsidR="00802FE9" w:rsidRPr="00802FE9"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t>The substrate gap has a clear, replicable positive sign whenever the mismatched substrate is the tree engine, across all three networks (t ≥ 2.15, p ≤ 0.07</w:t>
      </w:r>
      <w:r w:rsidR="00D5243B">
        <w:rPr>
          <w:rFonts w:ascii="Times New Roman" w:eastAsia="Times New Roman" w:hAnsi="Times New Roman" w:cs="Times New Roman"/>
          <w:color w:val="000000" w:themeColor="text1"/>
        </w:rPr>
        <w:t>), with per-scenario replication of 8/8 on the two 17-node networks and 6/8 on ALARM</w:t>
      </w:r>
      <w:r>
        <w:rPr>
          <w:rFonts w:ascii="Times New Roman" w:eastAsia="Times New Roman" w:hAnsi="Times New Roman" w:cs="Times New Roman"/>
          <w:color w:val="000000" w:themeColor="text1"/>
        </w:rPr>
        <w:t>. This is the classical substrate-mismatch cost. When the mismatched substrate is the Markov engine, however, the gap is null or slightly negative on the 17-node networks and slightly positive but statistically indistinguishable from zero on ALARM.</w:t>
      </w:r>
      <w:r>
        <w:rPr>
          <w:rFonts w:ascii="Times New Roman" w:eastAsia="Times New Roman" w:hAnsi="Times New Roman" w:cs="Times New Roman"/>
          <w:color w:val="000000" w:themeColor="text1"/>
          <w:bdr w:val="none" w:sz="0" w:space="0" w:color="auto" w:frame="1"/>
          <w:shd w:val="clear" w:color="auto" w:fill="C6C6C6"/>
        </w:rPr>
        <w:t> </w:t>
      </w:r>
    </w:p>
    <w:p w14:paraId="4965B3F0" w14:textId="77777777" w:rsidR="00802FE9"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The ALARM row deserves a separate comment. Its substrate gap under the tree axis (+0.024) has the same sign as Kanno-tree (+0.053) and Domain17-tree (+0.077) but roughly half the magnitude. Its per-scenario sign consistency drops from 8/8 to 6/8. Two of the eight ALARM-tree scenarios show a negative substrate gap; two of the eight show sensitivity gain values near zero or slightly negative (mismatched-aware detects fewer initial conflicts than matched-aware). </w:t>
      </w:r>
    </w:p>
    <w:p w14:paraId="5DB4D5A1" w14:textId="77777777"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t>We interpret this as a scale effect on the balance between the two forces developed in §5.7: with 37 nodes and 23 hidden inference targets — nearly triple the hidden inference surface of the 17-node networks — individual substrate mismatches are diluted across a larger inference structure, and the sensitivity gain and quality loss both attenuate. Both forces remain measurable in the aggregate (the specificity check holds cleanly on ALARM, max |matched-aware − matched-naive| = 0.007), but their per-scenario balance becomes more heterogeneous. The two-force account thus predicts, and here demonstrates, that its own effects should attenuate with network scale rather than replicate uniformly across networks of different sizes.</w:t>
      </w:r>
      <w:r>
        <w:rPr>
          <w:rFonts w:ascii="Times New Roman" w:eastAsia="Times New Roman" w:hAnsi="Times New Roman" w:cs="Times New Roman"/>
          <w:color w:val="000000" w:themeColor="text1"/>
          <w:bdr w:val="none" w:sz="0" w:space="0" w:color="auto" w:frame="1"/>
          <w:shd w:val="clear" w:color="auto" w:fill="C6C6C6"/>
        </w:rPr>
        <w:t> </w:t>
      </w:r>
    </w:p>
    <w:p w14:paraId="7D745A5A" w14:textId="77777777" w:rsidR="008D0A88" w:rsidRPr="009C4D05" w:rsidRDefault="008D0A88" w:rsidP="009C4D05">
      <w:pPr>
        <w:spacing w:after="0"/>
        <w:textAlignment w:val="baseline"/>
        <w:rPr>
          <w:rFonts w:ascii="Times New Roman" w:eastAsia="Times New Roman" w:hAnsi="Times New Roman" w:cs="Times New Roman"/>
          <w:color w:val="000000" w:themeColor="text1"/>
        </w:rPr>
      </w:pPr>
    </w:p>
    <w:p w14:paraId="73BB18DE"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noProof/>
          <w:color w:val="000000" w:themeColor="text1"/>
        </w:rPr>
        <w:lastRenderedPageBreak/>
        <w:drawing>
          <wp:inline distT="0" distB="0" distL="0" distR="0" wp14:anchorId="5F3FF0A3" wp14:editId="532CE24D">
            <wp:extent cx="5067300" cy="2730500"/>
            <wp:effectExtent l="0" t="0" r="0" b="0"/>
            <wp:docPr id="521432595" name="Picture 6" descr="Figure 6. Substrate gap by (network × mismatched axis). Bars show mean, dots show per-scenario values, error bars are ±1 SE. Tree-axis conditions produce a robust positive substrate gap on all three networks (matched wins, classical trap); Markov-axis conditions produce a null or mildly negative gap on the 17-node networks and a small non-significant positive gap on ALARM (mismatched wins or ties, inverted regime). ALARM’s magnitudes are attenuated relative to the 17-node networks — consistent with the two-force account’s prediction that both forces dilute across larger inference su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gure 6. Substrate gap by (network × mismatched axis). Bars show mean, dots show per-scenario values, error bars are ±1 SE. Tree-axis conditions produce a robust positive substrate gap on all three networks (matched wins, classical trap); Markov-axis conditions produce a null or mildly negative gap on the 17-node networks and a small non-significant positive gap on ALARM (mismatched wins or ties, inverted regime). ALARM’s magnitudes are attenuated relative to the 17-node networks — consistent with the two-force account’s prediction that both forces dilute across larger inference surfac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67300" cy="2730500"/>
                    </a:xfrm>
                    <a:prstGeom prst="rect">
                      <a:avLst/>
                    </a:prstGeom>
                    <a:noFill/>
                    <a:ln>
                      <a:noFill/>
                    </a:ln>
                  </pic:spPr>
                </pic:pic>
              </a:graphicData>
            </a:graphic>
          </wp:inline>
        </w:drawing>
      </w:r>
      <w:r>
        <w:rPr>
          <w:rFonts w:ascii="Times New Roman" w:eastAsia="Times New Roman" w:hAnsi="Times New Roman" w:cs="Times New Roman"/>
          <w:color w:val="000000" w:themeColor="text1"/>
          <w:bdr w:val="none" w:sz="0" w:space="0" w:color="auto" w:frame="1"/>
          <w:shd w:val="clear" w:color="auto" w:fill="C6C6C6"/>
        </w:rPr>
        <w:t> </w:t>
      </w:r>
    </w:p>
    <w:p w14:paraId="6BB5E552" w14:textId="77777777" w:rsidR="009C4D05" w:rsidRDefault="009C4D05" w:rsidP="009C4D05">
      <w:pPr>
        <w:spacing w:after="0"/>
        <w:textAlignment w:val="baseline"/>
        <w:rPr>
          <w:rFonts w:ascii="Times New Roman" w:eastAsia="Times New Roman" w:hAnsi="Times New Roman" w:cs="Times New Roman"/>
          <w:i/>
          <w:iCs/>
          <w:color w:val="000000" w:themeColor="text1"/>
          <w:bdr w:val="none" w:sz="0" w:space="0" w:color="auto" w:frame="1"/>
          <w:shd w:val="clear" w:color="auto" w:fill="C6C6C6"/>
        </w:rPr>
      </w:pPr>
      <w:r>
        <w:rPr>
          <w:rFonts w:ascii="Times New Roman" w:eastAsia="Times New Roman" w:hAnsi="Times New Roman" w:cs="Times New Roman"/>
          <w:i/>
          <w:iCs/>
          <w:color w:val="000000" w:themeColor="text1"/>
        </w:rPr>
        <w:t>Figure 6. Substrate gap by (network × mismatched axis). Bars show mean, dots show per-scenario values, error bars are ±1 SE. Tree-axis conditions produce a robust positive substrate gap on all three networks (matched wins, classical trap); Markov-axis conditions produce a null or mildly negative gap on the 17-node networks and a small non-significant positive gap on ALARM (mismatched wins or ties, inverted regime). ALARM’s magnitudes are attenuated relative to the 17-node networks — consistent with the two-force account’s prediction that both forces dilute across larger inference surfaces.</w:t>
      </w:r>
      <w:r>
        <w:rPr>
          <w:rFonts w:ascii="Times New Roman" w:eastAsia="Times New Roman" w:hAnsi="Times New Roman" w:cs="Times New Roman"/>
          <w:i/>
          <w:iCs/>
          <w:color w:val="000000" w:themeColor="text1"/>
          <w:bdr w:val="none" w:sz="0" w:space="0" w:color="auto" w:frame="1"/>
          <w:shd w:val="clear" w:color="auto" w:fill="C6C6C6"/>
        </w:rPr>
        <w:t> </w:t>
      </w:r>
    </w:p>
    <w:p w14:paraId="3C2B718D" w14:textId="77777777" w:rsidR="008D0A88" w:rsidRPr="009C4D05" w:rsidRDefault="008D0A88" w:rsidP="009C4D05">
      <w:pPr>
        <w:spacing w:after="0"/>
        <w:textAlignment w:val="baseline"/>
        <w:rPr>
          <w:rFonts w:ascii="Times New Roman" w:eastAsia="Times New Roman" w:hAnsi="Times New Roman" w:cs="Times New Roman"/>
          <w:i/>
          <w:iCs/>
          <w:color w:val="000000" w:themeColor="text1"/>
        </w:rPr>
      </w:pPr>
    </w:p>
    <w:p w14:paraId="69B00450" w14:textId="3482D225"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t xml:space="preserve">The aware gap — the classic </w:t>
      </w:r>
      <w:proofErr w:type="spellStart"/>
      <w:r>
        <w:rPr>
          <w:rFonts w:ascii="Times New Roman" w:eastAsia="Times New Roman" w:hAnsi="Times New Roman" w:cs="Times New Roman"/>
          <w:color w:val="000000" w:themeColor="text1"/>
        </w:rPr>
        <w:t>Anthropomorphization</w:t>
      </w:r>
      <w:proofErr w:type="spellEnd"/>
      <w:r>
        <w:rPr>
          <w:rFonts w:ascii="Times New Roman" w:eastAsia="Times New Roman" w:hAnsi="Times New Roman" w:cs="Times New Roman"/>
          <w:color w:val="000000" w:themeColor="text1"/>
        </w:rPr>
        <w:t xml:space="preserve"> Trap signal — is aggregate positive but small and not statistically robust in any single condition. </w:t>
      </w:r>
      <w:proofErr w:type="gramStart"/>
      <w:r>
        <w:rPr>
          <w:rFonts w:ascii="Times New Roman" w:eastAsia="Times New Roman" w:hAnsi="Times New Roman" w:cs="Times New Roman"/>
          <w:color w:val="000000" w:themeColor="text1"/>
        </w:rPr>
        <w:t>This aggregate obscures</w:t>
      </w:r>
      <w:proofErr w:type="gramEnd"/>
      <w:r>
        <w:rPr>
          <w:rFonts w:ascii="Times New Roman" w:eastAsia="Times New Roman" w:hAnsi="Times New Roman" w:cs="Times New Roman"/>
          <w:color w:val="000000" w:themeColor="text1"/>
        </w:rPr>
        <w:t xml:space="preserve"> a scenario-level structure documented in prior work on this dataset: on Kanno-tree, the aware gap splits by fault type (dead battery: aware &gt; naive; weak battery: naive &gt; aware), producing a scenario-conditional trade-off rather than a monotone trap. We return to this in the discussion section.</w:t>
      </w:r>
      <w:r>
        <w:rPr>
          <w:rFonts w:ascii="Times New Roman" w:eastAsia="Times New Roman" w:hAnsi="Times New Roman" w:cs="Times New Roman"/>
          <w:color w:val="000000" w:themeColor="text1"/>
          <w:bdr w:val="none" w:sz="0" w:space="0" w:color="auto" w:frame="1"/>
          <w:shd w:val="clear" w:color="auto" w:fill="C6C6C6"/>
        </w:rPr>
        <w:t> </w:t>
      </w:r>
    </w:p>
    <w:p w14:paraId="20A265F4" w14:textId="77777777" w:rsidR="008D0A88" w:rsidRPr="009C4D05" w:rsidRDefault="008D0A88" w:rsidP="009C4D05">
      <w:pPr>
        <w:spacing w:after="0"/>
        <w:textAlignment w:val="baseline"/>
        <w:rPr>
          <w:rFonts w:ascii="Times New Roman" w:eastAsia="Times New Roman" w:hAnsi="Times New Roman" w:cs="Times New Roman"/>
          <w:color w:val="000000" w:themeColor="text1"/>
        </w:rPr>
      </w:pPr>
    </w:p>
    <w:p w14:paraId="112E02E8" w14:textId="77777777" w:rsidR="009C4D05" w:rsidRDefault="009C4D05" w:rsidP="009C4D05">
      <w:pPr>
        <w:spacing w:after="0"/>
        <w:textAlignment w:val="baseline"/>
        <w:rPr>
          <w:rFonts w:ascii="Times New Roman" w:eastAsia="Times New Roman" w:hAnsi="Times New Roman" w:cs="Times New Roman"/>
          <w:b/>
          <w:bCs/>
          <w:color w:val="000000" w:themeColor="text1"/>
          <w:bdr w:val="none" w:sz="0" w:space="0" w:color="auto" w:frame="1"/>
          <w:shd w:val="clear" w:color="auto" w:fill="C6C6C6"/>
        </w:rPr>
      </w:pPr>
      <w:r>
        <w:rPr>
          <w:rFonts w:ascii="Times New Roman" w:eastAsia="Times New Roman" w:hAnsi="Times New Roman" w:cs="Times New Roman"/>
          <w:b/>
          <w:bCs/>
          <w:color w:val="000000" w:themeColor="text1"/>
        </w:rPr>
        <w:t>5.2 Metric-dependence: does the sign flip under abstention-aware accuracy?</w:t>
      </w:r>
      <w:r>
        <w:rPr>
          <w:rFonts w:ascii="Times New Roman" w:eastAsia="Times New Roman" w:hAnsi="Times New Roman" w:cs="Times New Roman"/>
          <w:b/>
          <w:bCs/>
          <w:color w:val="000000" w:themeColor="text1"/>
          <w:bdr w:val="none" w:sz="0" w:space="0" w:color="auto" w:frame="1"/>
          <w:shd w:val="clear" w:color="auto" w:fill="C6C6C6"/>
        </w:rPr>
        <w:t> </w:t>
      </w:r>
    </w:p>
    <w:p w14:paraId="2D3239C7" w14:textId="77777777" w:rsidR="008D0A88" w:rsidRPr="009C4D05" w:rsidRDefault="008D0A88" w:rsidP="009C4D05">
      <w:pPr>
        <w:spacing w:after="0"/>
        <w:textAlignment w:val="baseline"/>
        <w:rPr>
          <w:rFonts w:ascii="Times New Roman" w:eastAsia="Times New Roman" w:hAnsi="Times New Roman" w:cs="Times New Roman"/>
          <w:b/>
          <w:bCs/>
          <w:color w:val="000000" w:themeColor="text1"/>
        </w:rPr>
      </w:pPr>
    </w:p>
    <w:p w14:paraId="7ADF434F" w14:textId="5A1F5DD4"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t>Before proceeding with the mechanism analysis, we address a natural concern: because the full team-accuracy metric treats UNCERTAIN diagnoses as errors, differences in commitment rates across cells could mechanically inflate (or deflate) the substrate gap. To test this, we compute an alternative committed accuracy metric that scores only nodes where an agent’s diagnosis is not UNCERTAIN (</w:t>
      </w:r>
      <w:proofErr w:type="gramStart"/>
      <w:r>
        <w:rPr>
          <w:rFonts w:ascii="Times New Roman" w:eastAsia="Times New Roman" w:hAnsi="Times New Roman" w:cs="Times New Roman"/>
          <w:color w:val="000000" w:themeColor="text1"/>
        </w:rPr>
        <w:t>correct / #</w:t>
      </w:r>
      <w:proofErr w:type="gramEnd"/>
      <w:r>
        <w:rPr>
          <w:rFonts w:ascii="Times New Roman" w:eastAsia="Times New Roman" w:hAnsi="Times New Roman" w:cs="Times New Roman"/>
          <w:color w:val="000000" w:themeColor="text1"/>
        </w:rPr>
        <w:t>committed), so that abstention neither helps nor hurts.</w:t>
      </w:r>
      <w:r>
        <w:rPr>
          <w:rFonts w:ascii="Times New Roman" w:eastAsia="Times New Roman" w:hAnsi="Times New Roman" w:cs="Times New Roman"/>
          <w:color w:val="000000" w:themeColor="text1"/>
          <w:bdr w:val="none" w:sz="0" w:space="0" w:color="auto" w:frame="1"/>
          <w:shd w:val="clear" w:color="auto" w:fill="C6C6C6"/>
        </w:rPr>
        <w:t> </w:t>
      </w:r>
    </w:p>
    <w:p w14:paraId="62261A7E" w14:textId="77777777" w:rsidR="008D0A88" w:rsidRPr="009C4D05" w:rsidRDefault="008D0A88" w:rsidP="009C4D05">
      <w:pPr>
        <w:spacing w:after="0"/>
        <w:textAlignment w:val="baseline"/>
        <w:rPr>
          <w:rFonts w:ascii="Times New Roman" w:eastAsia="Times New Roman" w:hAnsi="Times New Roman" w:cs="Times New Roman"/>
          <w:color w:val="000000" w:themeColor="text1"/>
        </w:rPr>
      </w:pPr>
    </w:p>
    <w:p w14:paraId="6AD34A15" w14:textId="3961D550"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t>For the domain17-Markov condition — the cell where the sign might most plausibly reverse — we ran the full 2×2, with both metrics reported side by side. The aggregate substrate gap under the full metric is −0.019 (t = −0.95, p = 0.37, 3/8 scenarios contradict); under the committed metric it is −0.033 (t = −2.91, p = 0.023, 0/8 scenarios contradict). The sign does not flip; the effect becomes stronger and cleaner under the abstention-aware metric, moving from statistically undecidable to a clear negative result. Per-scenario, 3 of 8 scenarios flip sign between the two metrics, but the aggregate sign is unchanged.</w:t>
      </w:r>
      <w:r>
        <w:rPr>
          <w:rFonts w:ascii="Times New Roman" w:eastAsia="Times New Roman" w:hAnsi="Times New Roman" w:cs="Times New Roman"/>
          <w:color w:val="000000" w:themeColor="text1"/>
          <w:bdr w:val="none" w:sz="0" w:space="0" w:color="auto" w:frame="1"/>
          <w:shd w:val="clear" w:color="auto" w:fill="C6C6C6"/>
        </w:rPr>
        <w:t> </w:t>
      </w:r>
    </w:p>
    <w:p w14:paraId="46CE0090" w14:textId="77777777" w:rsidR="008D0A88" w:rsidRPr="009C4D05" w:rsidRDefault="008D0A88" w:rsidP="009C4D05">
      <w:pPr>
        <w:spacing w:after="0"/>
        <w:textAlignment w:val="baseline"/>
        <w:rPr>
          <w:rFonts w:ascii="Times New Roman" w:eastAsia="Times New Roman" w:hAnsi="Times New Roman" w:cs="Times New Roman"/>
          <w:color w:val="000000" w:themeColor="text1"/>
        </w:rPr>
      </w:pPr>
    </w:p>
    <w:p w14:paraId="67F874BE" w14:textId="77777777"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lastRenderedPageBreak/>
        <w:t>The metric dependence is fully explained mechanically by cell-level commitment rates: the Pearson correlation between the per-scenario commit-rate difference (matched-aware minus mismatched-aware) and the per-scenario full-committed metric difference is r = +0.96, p &lt; 0.001. Whenever the matched-aware team commits more than the mismatched-aware team, the full metric rewards it disproportionately relative to the committed metric. In this dataset, aggregate commit rates are essentially equal across cells (matched-aware: 0.708, mismatched-aware: 0.707), so the aggregate substrate gap is stable across metrics, even though individual scenarios can flip.</w:t>
      </w:r>
      <w:r>
        <w:rPr>
          <w:rFonts w:ascii="Times New Roman" w:eastAsia="Times New Roman" w:hAnsi="Times New Roman" w:cs="Times New Roman"/>
          <w:color w:val="000000" w:themeColor="text1"/>
          <w:bdr w:val="none" w:sz="0" w:space="0" w:color="auto" w:frame="1"/>
          <w:shd w:val="clear" w:color="auto" w:fill="C6C6C6"/>
        </w:rPr>
        <w:t> </w:t>
      </w:r>
    </w:p>
    <w:p w14:paraId="41A39476" w14:textId="77777777" w:rsidR="008D0A88" w:rsidRPr="009C4D05" w:rsidRDefault="008D0A88" w:rsidP="009C4D05">
      <w:pPr>
        <w:spacing w:after="0"/>
        <w:textAlignment w:val="baseline"/>
        <w:rPr>
          <w:rFonts w:ascii="Times New Roman" w:eastAsia="Times New Roman" w:hAnsi="Times New Roman" w:cs="Times New Roman"/>
          <w:color w:val="000000" w:themeColor="text1"/>
        </w:rPr>
      </w:pPr>
    </w:p>
    <w:p w14:paraId="3B833AE0"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We interpret this as evidence that the Markov surprise is not an abstention artifact. From this point on, all analyses use the full metric for continuity with the EMBM literature.</w:t>
      </w:r>
      <w:r>
        <w:rPr>
          <w:rFonts w:ascii="Times New Roman" w:eastAsia="Times New Roman" w:hAnsi="Times New Roman" w:cs="Times New Roman"/>
          <w:color w:val="000000" w:themeColor="text1"/>
          <w:bdr w:val="none" w:sz="0" w:space="0" w:color="auto" w:frame="1"/>
          <w:shd w:val="clear" w:color="auto" w:fill="C6C6C6"/>
        </w:rPr>
        <w:t> </w:t>
      </w:r>
    </w:p>
    <w:p w14:paraId="34766C35" w14:textId="77777777" w:rsidR="008D0A88" w:rsidRDefault="008D0A88" w:rsidP="009C4D05">
      <w:pPr>
        <w:spacing w:after="0"/>
        <w:textAlignment w:val="baseline"/>
        <w:rPr>
          <w:rFonts w:ascii="Times New Roman" w:eastAsia="Times New Roman" w:hAnsi="Times New Roman" w:cs="Times New Roman"/>
          <w:b/>
          <w:bCs/>
          <w:color w:val="000000" w:themeColor="text1"/>
        </w:rPr>
      </w:pPr>
    </w:p>
    <w:p w14:paraId="3E21F602" w14:textId="77777777" w:rsidR="009C4D05" w:rsidRDefault="009C4D05" w:rsidP="009C4D05">
      <w:pPr>
        <w:spacing w:after="0"/>
        <w:textAlignment w:val="baseline"/>
        <w:rPr>
          <w:rFonts w:ascii="Times New Roman" w:eastAsia="Times New Roman" w:hAnsi="Times New Roman" w:cs="Times New Roman"/>
          <w:b/>
          <w:bCs/>
          <w:color w:val="000000" w:themeColor="text1"/>
          <w:bdr w:val="none" w:sz="0" w:space="0" w:color="auto" w:frame="1"/>
          <w:shd w:val="clear" w:color="auto" w:fill="C6C6C6"/>
        </w:rPr>
      </w:pPr>
      <w:r>
        <w:rPr>
          <w:rFonts w:ascii="Times New Roman" w:eastAsia="Times New Roman" w:hAnsi="Times New Roman" w:cs="Times New Roman"/>
          <w:b/>
          <w:bCs/>
          <w:color w:val="000000" w:themeColor="text1"/>
        </w:rPr>
        <w:t>5.3 The sensitivity mechanism: mismatched-aware teams detect more conflicts</w:t>
      </w:r>
      <w:r>
        <w:rPr>
          <w:rFonts w:ascii="Times New Roman" w:eastAsia="Times New Roman" w:hAnsi="Times New Roman" w:cs="Times New Roman"/>
          <w:b/>
          <w:bCs/>
          <w:color w:val="000000" w:themeColor="text1"/>
          <w:bdr w:val="none" w:sz="0" w:space="0" w:color="auto" w:frame="1"/>
          <w:shd w:val="clear" w:color="auto" w:fill="C6C6C6"/>
        </w:rPr>
        <w:t> </w:t>
      </w:r>
    </w:p>
    <w:p w14:paraId="37E792E1" w14:textId="77777777" w:rsidR="008D0A88" w:rsidRPr="009C4D05" w:rsidRDefault="008D0A88" w:rsidP="009C4D05">
      <w:pPr>
        <w:spacing w:after="0"/>
        <w:textAlignment w:val="baseline"/>
        <w:rPr>
          <w:rFonts w:ascii="Times New Roman" w:eastAsia="Times New Roman" w:hAnsi="Times New Roman" w:cs="Times New Roman"/>
          <w:b/>
          <w:bCs/>
          <w:color w:val="000000" w:themeColor="text1"/>
        </w:rPr>
      </w:pPr>
    </w:p>
    <w:p w14:paraId="49FA87A5" w14:textId="17D1B1D4" w:rsidR="008D0A88"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Table 3 reports the initial conflict counts by cell and the (mismatched-aware minus matched-aware) contrast.</w:t>
      </w:r>
    </w:p>
    <w:p w14:paraId="2B32B0D7"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bdr w:val="none" w:sz="0" w:space="0" w:color="auto" w:frame="1"/>
          <w:shd w:val="clear" w:color="auto" w:fill="C6C6C6"/>
        </w:rPr>
        <w:t> </w:t>
      </w:r>
    </w:p>
    <w:p w14:paraId="52B6F129" w14:textId="6A9FF472" w:rsidR="008D0A88" w:rsidRPr="008D0A88" w:rsidRDefault="009C4D05" w:rsidP="009C4D05">
      <w:pPr>
        <w:spacing w:after="0"/>
        <w:textAlignment w:val="baseline"/>
        <w:rPr>
          <w:rFonts w:ascii="Times New Roman" w:eastAsia="Times New Roman" w:hAnsi="Times New Roman" w:cs="Times New Roman"/>
          <w:b/>
          <w:bCs/>
          <w:color w:val="000000" w:themeColor="text1"/>
          <w:bdr w:val="none" w:sz="0" w:space="0" w:color="auto" w:frame="1"/>
          <w:shd w:val="clear" w:color="auto" w:fill="C6C6C6"/>
        </w:rPr>
      </w:pPr>
      <w:r>
        <w:rPr>
          <w:rFonts w:ascii="Times New Roman" w:eastAsia="Times New Roman" w:hAnsi="Times New Roman" w:cs="Times New Roman"/>
          <w:b/>
          <w:bCs/>
          <w:color w:val="000000" w:themeColor="text1"/>
        </w:rPr>
        <w:t>Table 3. Initial conflict counts and sensitivity contrast.</w:t>
      </w:r>
      <w:r>
        <w:rPr>
          <w:rFonts w:ascii="Times New Roman" w:eastAsia="Times New Roman" w:hAnsi="Times New Roman" w:cs="Times New Roman"/>
          <w:b/>
          <w:bCs/>
          <w:color w:val="000000" w:themeColor="text1"/>
          <w:bdr w:val="none" w:sz="0" w:space="0" w:color="auto" w:frame="1"/>
          <w:shd w:val="clear" w:color="auto" w:fill="C6C6C6"/>
        </w:rPr>
        <w:t> </w:t>
      </w:r>
    </w:p>
    <w:tbl>
      <w:tblPr>
        <w:tblStyle w:val="TableGrid"/>
        <w:tblW w:w="9355" w:type="dxa"/>
        <w:tblLayout w:type="fixed"/>
        <w:tblLook w:val="04A0" w:firstRow="1" w:lastRow="0" w:firstColumn="1" w:lastColumn="0" w:noHBand="0" w:noVBand="1"/>
      </w:tblPr>
      <w:tblGrid>
        <w:gridCol w:w="2190"/>
        <w:gridCol w:w="816"/>
        <w:gridCol w:w="816"/>
        <w:gridCol w:w="943"/>
        <w:gridCol w:w="900"/>
        <w:gridCol w:w="990"/>
        <w:gridCol w:w="990"/>
        <w:gridCol w:w="1080"/>
        <w:gridCol w:w="630"/>
      </w:tblGrid>
      <w:tr w:rsidR="009C4D05" w:rsidRPr="009C4D05" w14:paraId="21B42EA1" w14:textId="77777777" w:rsidTr="008D0A88">
        <w:trPr>
          <w:trHeight w:val="300"/>
        </w:trPr>
        <w:tc>
          <w:tcPr>
            <w:tcW w:w="2190" w:type="dxa"/>
            <w:vAlign w:val="center"/>
            <w:hideMark/>
          </w:tcPr>
          <w:p w14:paraId="4F4E8F8E" w14:textId="77777777" w:rsidR="009C4D05" w:rsidRPr="008D0A88" w:rsidRDefault="009C4D05" w:rsidP="008D0A88">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Cell </w:t>
            </w:r>
          </w:p>
        </w:tc>
        <w:tc>
          <w:tcPr>
            <w:tcW w:w="816" w:type="dxa"/>
            <w:vAlign w:val="center"/>
            <w:hideMark/>
          </w:tcPr>
          <w:p w14:paraId="13E61660" w14:textId="77777777" w:rsidR="009C4D05" w:rsidRPr="008D0A88" w:rsidRDefault="009C4D05" w:rsidP="008D0A88">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m-a </w:t>
            </w:r>
          </w:p>
        </w:tc>
        <w:tc>
          <w:tcPr>
            <w:tcW w:w="816" w:type="dxa"/>
            <w:vAlign w:val="center"/>
            <w:hideMark/>
          </w:tcPr>
          <w:p w14:paraId="7CF527E7" w14:textId="77777777" w:rsidR="009C4D05" w:rsidRPr="008D0A88" w:rsidRDefault="009C4D05" w:rsidP="008D0A88">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m-n </w:t>
            </w:r>
          </w:p>
        </w:tc>
        <w:tc>
          <w:tcPr>
            <w:tcW w:w="943" w:type="dxa"/>
            <w:vAlign w:val="center"/>
            <w:hideMark/>
          </w:tcPr>
          <w:p w14:paraId="6408D09C" w14:textId="77777777" w:rsidR="009C4D05" w:rsidRPr="008D0A88" w:rsidRDefault="009C4D05" w:rsidP="008D0A88">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mm-a </w:t>
            </w:r>
          </w:p>
        </w:tc>
        <w:tc>
          <w:tcPr>
            <w:tcW w:w="900" w:type="dxa"/>
            <w:vAlign w:val="center"/>
            <w:hideMark/>
          </w:tcPr>
          <w:p w14:paraId="4137EF13" w14:textId="77777777" w:rsidR="009C4D05" w:rsidRPr="008D0A88" w:rsidRDefault="009C4D05" w:rsidP="008D0A88">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mm-n </w:t>
            </w:r>
          </w:p>
        </w:tc>
        <w:tc>
          <w:tcPr>
            <w:tcW w:w="990" w:type="dxa"/>
            <w:vAlign w:val="center"/>
            <w:hideMark/>
          </w:tcPr>
          <w:p w14:paraId="19DB9627" w14:textId="77777777" w:rsidR="009C4D05" w:rsidRPr="008D0A88" w:rsidRDefault="009C4D05" w:rsidP="008D0A88">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mm-a − m-a </w:t>
            </w:r>
          </w:p>
        </w:tc>
        <w:tc>
          <w:tcPr>
            <w:tcW w:w="990" w:type="dxa"/>
            <w:vAlign w:val="center"/>
            <w:hideMark/>
          </w:tcPr>
          <w:p w14:paraId="181C1F60" w14:textId="61F2D2C5" w:rsidR="009C4D05" w:rsidRPr="008D0A88" w:rsidRDefault="009C4D05" w:rsidP="008D0A88">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w:t>
            </w:r>
          </w:p>
        </w:tc>
        <w:tc>
          <w:tcPr>
            <w:tcW w:w="1080" w:type="dxa"/>
            <w:vAlign w:val="center"/>
            <w:hideMark/>
          </w:tcPr>
          <w:p w14:paraId="09EC6B1D" w14:textId="77777777" w:rsidR="009C4D05" w:rsidRPr="008D0A88" w:rsidRDefault="009C4D05" w:rsidP="008D0A88">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p </w:t>
            </w:r>
          </w:p>
        </w:tc>
        <w:tc>
          <w:tcPr>
            <w:tcW w:w="630" w:type="dxa"/>
            <w:vAlign w:val="center"/>
            <w:hideMark/>
          </w:tcPr>
          <w:p w14:paraId="4DD5E4B7" w14:textId="77777777" w:rsidR="009C4D05" w:rsidRPr="008D0A88" w:rsidRDefault="009C4D05" w:rsidP="008D0A88">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Pos</w:t>
            </w:r>
          </w:p>
        </w:tc>
      </w:tr>
      <w:tr w:rsidR="009C4D05" w:rsidRPr="009C4D05" w14:paraId="628EE4F3" w14:textId="77777777" w:rsidTr="008D0A88">
        <w:trPr>
          <w:trHeight w:val="300"/>
        </w:trPr>
        <w:tc>
          <w:tcPr>
            <w:tcW w:w="2190" w:type="dxa"/>
            <w:hideMark/>
          </w:tcPr>
          <w:p w14:paraId="186D8A6B" w14:textId="77777777" w:rsidR="009C4D05" w:rsidRPr="008D0A88"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Domain17 tree </w:t>
            </w:r>
          </w:p>
        </w:tc>
        <w:tc>
          <w:tcPr>
            <w:tcW w:w="816" w:type="dxa"/>
            <w:vAlign w:val="center"/>
            <w:hideMark/>
          </w:tcPr>
          <w:p w14:paraId="3D63D9A0" w14:textId="77777777" w:rsidR="009C4D05" w:rsidRPr="009C4D05" w:rsidRDefault="009C4D05" w:rsidP="008D0A88">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13.50 </w:t>
            </w:r>
          </w:p>
        </w:tc>
        <w:tc>
          <w:tcPr>
            <w:tcW w:w="816" w:type="dxa"/>
            <w:vAlign w:val="center"/>
            <w:hideMark/>
          </w:tcPr>
          <w:p w14:paraId="3AA0B627" w14:textId="77777777" w:rsidR="009C4D05" w:rsidRPr="009C4D05" w:rsidRDefault="009C4D05" w:rsidP="008D0A88">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13.50 </w:t>
            </w:r>
          </w:p>
        </w:tc>
        <w:tc>
          <w:tcPr>
            <w:tcW w:w="943" w:type="dxa"/>
            <w:vAlign w:val="center"/>
            <w:hideMark/>
          </w:tcPr>
          <w:p w14:paraId="4278C6A4" w14:textId="77777777" w:rsidR="009C4D05" w:rsidRPr="009C4D05" w:rsidRDefault="009C4D05" w:rsidP="008D0A88">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44.25 </w:t>
            </w:r>
          </w:p>
        </w:tc>
        <w:tc>
          <w:tcPr>
            <w:tcW w:w="900" w:type="dxa"/>
            <w:vAlign w:val="center"/>
            <w:hideMark/>
          </w:tcPr>
          <w:p w14:paraId="2E695E91" w14:textId="77777777" w:rsidR="009C4D05" w:rsidRPr="009C4D05" w:rsidRDefault="009C4D05" w:rsidP="008D0A88">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6.75 </w:t>
            </w:r>
          </w:p>
        </w:tc>
        <w:tc>
          <w:tcPr>
            <w:tcW w:w="990" w:type="dxa"/>
            <w:vAlign w:val="center"/>
            <w:hideMark/>
          </w:tcPr>
          <w:p w14:paraId="1B5DA41D" w14:textId="77777777" w:rsidR="009C4D05" w:rsidRPr="009C4D05" w:rsidRDefault="009C4D05" w:rsidP="008D0A88">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+30.75 </w:t>
            </w:r>
          </w:p>
        </w:tc>
        <w:tc>
          <w:tcPr>
            <w:tcW w:w="990" w:type="dxa"/>
            <w:vAlign w:val="center"/>
            <w:hideMark/>
          </w:tcPr>
          <w:p w14:paraId="726DB24A" w14:textId="77777777" w:rsidR="009C4D05" w:rsidRPr="009C4D05" w:rsidRDefault="009C4D05" w:rsidP="008D0A88">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+12.87 </w:t>
            </w:r>
          </w:p>
        </w:tc>
        <w:tc>
          <w:tcPr>
            <w:tcW w:w="1080" w:type="dxa"/>
            <w:vAlign w:val="center"/>
            <w:hideMark/>
          </w:tcPr>
          <w:p w14:paraId="755DC534" w14:textId="77777777" w:rsidR="009C4D05" w:rsidRPr="009C4D05" w:rsidRDefault="009C4D05" w:rsidP="008D0A88">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&lt;0.0001 </w:t>
            </w:r>
          </w:p>
        </w:tc>
        <w:tc>
          <w:tcPr>
            <w:tcW w:w="630" w:type="dxa"/>
            <w:vAlign w:val="center"/>
            <w:hideMark/>
          </w:tcPr>
          <w:p w14:paraId="296353B4" w14:textId="77777777" w:rsidR="009C4D05" w:rsidRPr="009C4D05" w:rsidRDefault="009C4D05" w:rsidP="008D0A88">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8/8 </w:t>
            </w:r>
          </w:p>
        </w:tc>
      </w:tr>
      <w:tr w:rsidR="009C4D05" w:rsidRPr="009C4D05" w14:paraId="43DF304B" w14:textId="77777777" w:rsidTr="008D0A88">
        <w:trPr>
          <w:trHeight w:val="300"/>
        </w:trPr>
        <w:tc>
          <w:tcPr>
            <w:tcW w:w="2190" w:type="dxa"/>
            <w:hideMark/>
          </w:tcPr>
          <w:p w14:paraId="1EF21FD6" w14:textId="77777777" w:rsidR="009C4D05" w:rsidRPr="008D0A88"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Domain17markov</w:t>
            </w:r>
          </w:p>
        </w:tc>
        <w:tc>
          <w:tcPr>
            <w:tcW w:w="816" w:type="dxa"/>
            <w:vAlign w:val="center"/>
            <w:hideMark/>
          </w:tcPr>
          <w:p w14:paraId="49BC1B40" w14:textId="77777777" w:rsidR="009C4D05" w:rsidRPr="009C4D05" w:rsidRDefault="009C4D05" w:rsidP="008D0A88">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13.50 </w:t>
            </w:r>
          </w:p>
        </w:tc>
        <w:tc>
          <w:tcPr>
            <w:tcW w:w="816" w:type="dxa"/>
            <w:vAlign w:val="center"/>
            <w:hideMark/>
          </w:tcPr>
          <w:p w14:paraId="506E3D2B" w14:textId="77777777" w:rsidR="009C4D05" w:rsidRPr="009C4D05" w:rsidRDefault="009C4D05" w:rsidP="008D0A88">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13.50 </w:t>
            </w:r>
          </w:p>
        </w:tc>
        <w:tc>
          <w:tcPr>
            <w:tcW w:w="943" w:type="dxa"/>
            <w:vAlign w:val="center"/>
            <w:hideMark/>
          </w:tcPr>
          <w:p w14:paraId="302D6913" w14:textId="77777777" w:rsidR="009C4D05" w:rsidRPr="009C4D05" w:rsidRDefault="009C4D05" w:rsidP="008D0A88">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34.88 </w:t>
            </w:r>
          </w:p>
        </w:tc>
        <w:tc>
          <w:tcPr>
            <w:tcW w:w="900" w:type="dxa"/>
            <w:vAlign w:val="center"/>
            <w:hideMark/>
          </w:tcPr>
          <w:p w14:paraId="5924B832" w14:textId="77777777" w:rsidR="009C4D05" w:rsidRPr="009C4D05" w:rsidRDefault="009C4D05" w:rsidP="008D0A88">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6.75 </w:t>
            </w:r>
          </w:p>
        </w:tc>
        <w:tc>
          <w:tcPr>
            <w:tcW w:w="990" w:type="dxa"/>
            <w:vAlign w:val="center"/>
            <w:hideMark/>
          </w:tcPr>
          <w:p w14:paraId="70BB3C24" w14:textId="77777777" w:rsidR="009C4D05" w:rsidRPr="009C4D05" w:rsidRDefault="009C4D05" w:rsidP="008D0A88">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+21.38 </w:t>
            </w:r>
          </w:p>
        </w:tc>
        <w:tc>
          <w:tcPr>
            <w:tcW w:w="990" w:type="dxa"/>
            <w:vAlign w:val="center"/>
            <w:hideMark/>
          </w:tcPr>
          <w:p w14:paraId="59FF1315" w14:textId="77777777" w:rsidR="009C4D05" w:rsidRPr="009C4D05" w:rsidRDefault="009C4D05" w:rsidP="008D0A88">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+11.15 </w:t>
            </w:r>
          </w:p>
        </w:tc>
        <w:tc>
          <w:tcPr>
            <w:tcW w:w="1080" w:type="dxa"/>
            <w:vAlign w:val="center"/>
            <w:hideMark/>
          </w:tcPr>
          <w:p w14:paraId="298BFCF3" w14:textId="77777777" w:rsidR="009C4D05" w:rsidRPr="009C4D05" w:rsidRDefault="009C4D05" w:rsidP="008D0A88">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&lt;0.0001 </w:t>
            </w:r>
          </w:p>
        </w:tc>
        <w:tc>
          <w:tcPr>
            <w:tcW w:w="630" w:type="dxa"/>
            <w:vAlign w:val="center"/>
            <w:hideMark/>
          </w:tcPr>
          <w:p w14:paraId="7A73B477" w14:textId="77777777" w:rsidR="009C4D05" w:rsidRPr="009C4D05" w:rsidRDefault="009C4D05" w:rsidP="008D0A88">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8/8 </w:t>
            </w:r>
          </w:p>
        </w:tc>
      </w:tr>
      <w:tr w:rsidR="009C4D05" w:rsidRPr="009C4D05" w14:paraId="04524C28" w14:textId="77777777" w:rsidTr="008D0A88">
        <w:trPr>
          <w:trHeight w:val="300"/>
        </w:trPr>
        <w:tc>
          <w:tcPr>
            <w:tcW w:w="2190" w:type="dxa"/>
            <w:hideMark/>
          </w:tcPr>
          <w:p w14:paraId="644C78D9" w14:textId="77777777" w:rsidR="009C4D05" w:rsidRPr="008D0A88"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Kanno tree </w:t>
            </w:r>
          </w:p>
        </w:tc>
        <w:tc>
          <w:tcPr>
            <w:tcW w:w="816" w:type="dxa"/>
            <w:vAlign w:val="center"/>
            <w:hideMark/>
          </w:tcPr>
          <w:p w14:paraId="64C5013C" w14:textId="77777777" w:rsidR="009C4D05" w:rsidRPr="009C4D05" w:rsidRDefault="009C4D05" w:rsidP="008D0A88">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12.75 </w:t>
            </w:r>
          </w:p>
        </w:tc>
        <w:tc>
          <w:tcPr>
            <w:tcW w:w="816" w:type="dxa"/>
            <w:vAlign w:val="center"/>
            <w:hideMark/>
          </w:tcPr>
          <w:p w14:paraId="74CD43EB" w14:textId="77777777" w:rsidR="009C4D05" w:rsidRPr="009C4D05" w:rsidRDefault="009C4D05" w:rsidP="008D0A88">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12.75 </w:t>
            </w:r>
          </w:p>
        </w:tc>
        <w:tc>
          <w:tcPr>
            <w:tcW w:w="943" w:type="dxa"/>
            <w:vAlign w:val="center"/>
            <w:hideMark/>
          </w:tcPr>
          <w:p w14:paraId="01B38882" w14:textId="77777777" w:rsidR="009C4D05" w:rsidRPr="009C4D05" w:rsidRDefault="009C4D05" w:rsidP="008D0A88">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22.88 </w:t>
            </w:r>
          </w:p>
        </w:tc>
        <w:tc>
          <w:tcPr>
            <w:tcW w:w="900" w:type="dxa"/>
            <w:vAlign w:val="center"/>
            <w:hideMark/>
          </w:tcPr>
          <w:p w14:paraId="5F8899B3" w14:textId="77777777" w:rsidR="009C4D05" w:rsidRPr="009C4D05" w:rsidRDefault="009C4D05" w:rsidP="008D0A88">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3.75 </w:t>
            </w:r>
          </w:p>
        </w:tc>
        <w:tc>
          <w:tcPr>
            <w:tcW w:w="990" w:type="dxa"/>
            <w:vAlign w:val="center"/>
            <w:hideMark/>
          </w:tcPr>
          <w:p w14:paraId="167D43E5" w14:textId="77777777" w:rsidR="009C4D05" w:rsidRPr="009C4D05" w:rsidRDefault="009C4D05" w:rsidP="008D0A88">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+10.12 </w:t>
            </w:r>
          </w:p>
        </w:tc>
        <w:tc>
          <w:tcPr>
            <w:tcW w:w="990" w:type="dxa"/>
            <w:vAlign w:val="center"/>
            <w:hideMark/>
          </w:tcPr>
          <w:p w14:paraId="5EA266D4" w14:textId="77777777" w:rsidR="009C4D05" w:rsidRPr="009C4D05" w:rsidRDefault="009C4D05" w:rsidP="008D0A88">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+8.04 </w:t>
            </w:r>
          </w:p>
        </w:tc>
        <w:tc>
          <w:tcPr>
            <w:tcW w:w="1080" w:type="dxa"/>
            <w:vAlign w:val="center"/>
            <w:hideMark/>
          </w:tcPr>
          <w:p w14:paraId="174FCD87" w14:textId="77777777" w:rsidR="009C4D05" w:rsidRPr="009C4D05" w:rsidRDefault="009C4D05" w:rsidP="008D0A88">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0.0001 </w:t>
            </w:r>
          </w:p>
        </w:tc>
        <w:tc>
          <w:tcPr>
            <w:tcW w:w="630" w:type="dxa"/>
            <w:vAlign w:val="center"/>
            <w:hideMark/>
          </w:tcPr>
          <w:p w14:paraId="6B8C66D8" w14:textId="77777777" w:rsidR="009C4D05" w:rsidRPr="009C4D05" w:rsidRDefault="009C4D05" w:rsidP="008D0A88">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8/8 </w:t>
            </w:r>
          </w:p>
        </w:tc>
      </w:tr>
      <w:tr w:rsidR="009C4D05" w:rsidRPr="009C4D05" w14:paraId="08880932" w14:textId="77777777" w:rsidTr="008D0A88">
        <w:trPr>
          <w:trHeight w:val="300"/>
        </w:trPr>
        <w:tc>
          <w:tcPr>
            <w:tcW w:w="2190" w:type="dxa"/>
            <w:hideMark/>
          </w:tcPr>
          <w:p w14:paraId="64404C5B" w14:textId="77777777" w:rsidR="009C4D05" w:rsidRPr="008D0A88" w:rsidRDefault="009C4D05" w:rsidP="009C4D05">
            <w:pPr>
              <w:textAlignment w:val="baseline"/>
              <w:rPr>
                <w:rFonts w:ascii="Times New Roman" w:eastAsia="Times New Roman" w:hAnsi="Times New Roman" w:cs="Times New Roman"/>
                <w:b/>
                <w:bCs/>
                <w:color w:val="000000" w:themeColor="text1"/>
              </w:rPr>
            </w:pPr>
            <w:proofErr w:type="spellStart"/>
            <w:r>
              <w:rPr>
                <w:rFonts w:ascii="Times New Roman" w:eastAsia="Times New Roman" w:hAnsi="Times New Roman" w:cs="Times New Roman"/>
                <w:b/>
                <w:bCs/>
                <w:color w:val="000000" w:themeColor="text1"/>
              </w:rPr>
              <w:t>Kannomarkov</w:t>
            </w:r>
            <w:proofErr w:type="spellEnd"/>
          </w:p>
        </w:tc>
        <w:tc>
          <w:tcPr>
            <w:tcW w:w="816" w:type="dxa"/>
            <w:vAlign w:val="center"/>
            <w:hideMark/>
          </w:tcPr>
          <w:p w14:paraId="11BE373F" w14:textId="77777777" w:rsidR="009C4D05" w:rsidRPr="009C4D05" w:rsidRDefault="009C4D05" w:rsidP="008D0A88">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12.75 </w:t>
            </w:r>
          </w:p>
        </w:tc>
        <w:tc>
          <w:tcPr>
            <w:tcW w:w="816" w:type="dxa"/>
            <w:vAlign w:val="center"/>
            <w:hideMark/>
          </w:tcPr>
          <w:p w14:paraId="495A2CD9" w14:textId="77777777" w:rsidR="009C4D05" w:rsidRPr="009C4D05" w:rsidRDefault="009C4D05" w:rsidP="008D0A88">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12.75 </w:t>
            </w:r>
          </w:p>
        </w:tc>
        <w:tc>
          <w:tcPr>
            <w:tcW w:w="943" w:type="dxa"/>
            <w:vAlign w:val="center"/>
            <w:hideMark/>
          </w:tcPr>
          <w:p w14:paraId="23776D2E" w14:textId="77777777" w:rsidR="009C4D05" w:rsidRPr="009C4D05" w:rsidRDefault="009C4D05" w:rsidP="008D0A88">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15.38 </w:t>
            </w:r>
          </w:p>
        </w:tc>
        <w:tc>
          <w:tcPr>
            <w:tcW w:w="900" w:type="dxa"/>
            <w:vAlign w:val="center"/>
            <w:hideMark/>
          </w:tcPr>
          <w:p w14:paraId="37A44A37" w14:textId="77777777" w:rsidR="009C4D05" w:rsidRPr="009C4D05" w:rsidRDefault="009C4D05" w:rsidP="008D0A88">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12.75 </w:t>
            </w:r>
          </w:p>
        </w:tc>
        <w:tc>
          <w:tcPr>
            <w:tcW w:w="990" w:type="dxa"/>
            <w:vAlign w:val="center"/>
            <w:hideMark/>
          </w:tcPr>
          <w:p w14:paraId="34BFE4EA" w14:textId="77777777" w:rsidR="009C4D05" w:rsidRPr="009C4D05" w:rsidRDefault="009C4D05" w:rsidP="008D0A88">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+2.62 </w:t>
            </w:r>
          </w:p>
        </w:tc>
        <w:tc>
          <w:tcPr>
            <w:tcW w:w="990" w:type="dxa"/>
            <w:vAlign w:val="center"/>
            <w:hideMark/>
          </w:tcPr>
          <w:p w14:paraId="40BDC30B" w14:textId="77777777" w:rsidR="009C4D05" w:rsidRPr="009C4D05" w:rsidRDefault="009C4D05" w:rsidP="008D0A88">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+3.86 </w:t>
            </w:r>
          </w:p>
        </w:tc>
        <w:tc>
          <w:tcPr>
            <w:tcW w:w="1080" w:type="dxa"/>
            <w:vAlign w:val="center"/>
            <w:hideMark/>
          </w:tcPr>
          <w:p w14:paraId="4AF05543" w14:textId="77777777" w:rsidR="009C4D05" w:rsidRPr="009C4D05" w:rsidRDefault="009C4D05" w:rsidP="008D0A88">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0.006 </w:t>
            </w:r>
          </w:p>
        </w:tc>
        <w:tc>
          <w:tcPr>
            <w:tcW w:w="630" w:type="dxa"/>
            <w:vAlign w:val="center"/>
            <w:hideMark/>
          </w:tcPr>
          <w:p w14:paraId="0103C422" w14:textId="77777777" w:rsidR="009C4D05" w:rsidRPr="009C4D05" w:rsidRDefault="009C4D05" w:rsidP="008D0A88">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6/8 </w:t>
            </w:r>
          </w:p>
        </w:tc>
      </w:tr>
      <w:tr w:rsidR="009C4D05" w:rsidRPr="009C4D05" w14:paraId="4DA46CAC" w14:textId="77777777" w:rsidTr="008D0A88">
        <w:trPr>
          <w:trHeight w:val="300"/>
        </w:trPr>
        <w:tc>
          <w:tcPr>
            <w:tcW w:w="2190" w:type="dxa"/>
            <w:hideMark/>
          </w:tcPr>
          <w:p w14:paraId="65D58985" w14:textId="77777777" w:rsidR="009C4D05" w:rsidRPr="008D0A88"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ALARM tree </w:t>
            </w:r>
          </w:p>
        </w:tc>
        <w:tc>
          <w:tcPr>
            <w:tcW w:w="816" w:type="dxa"/>
            <w:vAlign w:val="center"/>
            <w:hideMark/>
          </w:tcPr>
          <w:p w14:paraId="4C09AE29" w14:textId="77777777" w:rsidR="009C4D05" w:rsidRPr="009C4D05" w:rsidRDefault="009C4D05" w:rsidP="008D0A88">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30.75 </w:t>
            </w:r>
          </w:p>
        </w:tc>
        <w:tc>
          <w:tcPr>
            <w:tcW w:w="816" w:type="dxa"/>
            <w:vAlign w:val="center"/>
            <w:hideMark/>
          </w:tcPr>
          <w:p w14:paraId="2A6B4033" w14:textId="77777777" w:rsidR="009C4D05" w:rsidRPr="009C4D05" w:rsidRDefault="009C4D05" w:rsidP="008D0A88">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30.75 </w:t>
            </w:r>
          </w:p>
        </w:tc>
        <w:tc>
          <w:tcPr>
            <w:tcW w:w="943" w:type="dxa"/>
            <w:vAlign w:val="center"/>
            <w:hideMark/>
          </w:tcPr>
          <w:p w14:paraId="6F8AAE2E" w14:textId="77777777" w:rsidR="009C4D05" w:rsidRPr="009C4D05" w:rsidRDefault="009C4D05" w:rsidP="008D0A88">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34.12 </w:t>
            </w:r>
          </w:p>
        </w:tc>
        <w:tc>
          <w:tcPr>
            <w:tcW w:w="900" w:type="dxa"/>
            <w:vAlign w:val="center"/>
            <w:hideMark/>
          </w:tcPr>
          <w:p w14:paraId="364909C1" w14:textId="77777777" w:rsidR="009C4D05" w:rsidRPr="009C4D05" w:rsidRDefault="009C4D05" w:rsidP="008D0A88">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26.25 </w:t>
            </w:r>
          </w:p>
        </w:tc>
        <w:tc>
          <w:tcPr>
            <w:tcW w:w="990" w:type="dxa"/>
            <w:vAlign w:val="center"/>
            <w:hideMark/>
          </w:tcPr>
          <w:p w14:paraId="2B081272" w14:textId="77777777" w:rsidR="009C4D05" w:rsidRPr="009C4D05" w:rsidRDefault="009C4D05" w:rsidP="008D0A88">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+3.38 </w:t>
            </w:r>
          </w:p>
        </w:tc>
        <w:tc>
          <w:tcPr>
            <w:tcW w:w="990" w:type="dxa"/>
            <w:vAlign w:val="center"/>
            <w:hideMark/>
          </w:tcPr>
          <w:p w14:paraId="6FB87761" w14:textId="77777777" w:rsidR="009C4D05" w:rsidRPr="009C4D05" w:rsidRDefault="009C4D05" w:rsidP="008D0A88">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+0.90 </w:t>
            </w:r>
          </w:p>
        </w:tc>
        <w:tc>
          <w:tcPr>
            <w:tcW w:w="1080" w:type="dxa"/>
            <w:vAlign w:val="center"/>
            <w:hideMark/>
          </w:tcPr>
          <w:p w14:paraId="12C8A785" w14:textId="77777777" w:rsidR="009C4D05" w:rsidRPr="009C4D05" w:rsidRDefault="009C4D05" w:rsidP="008D0A88">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0.40 </w:t>
            </w:r>
          </w:p>
        </w:tc>
        <w:tc>
          <w:tcPr>
            <w:tcW w:w="630" w:type="dxa"/>
            <w:vAlign w:val="center"/>
            <w:hideMark/>
          </w:tcPr>
          <w:p w14:paraId="36CF66B8" w14:textId="77777777" w:rsidR="009C4D05" w:rsidRPr="009C4D05" w:rsidRDefault="009C4D05" w:rsidP="008D0A88">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5/8 </w:t>
            </w:r>
          </w:p>
        </w:tc>
      </w:tr>
      <w:tr w:rsidR="009C4D05" w:rsidRPr="009C4D05" w14:paraId="2DE0DD0A" w14:textId="77777777" w:rsidTr="008D0A88">
        <w:trPr>
          <w:trHeight w:val="300"/>
        </w:trPr>
        <w:tc>
          <w:tcPr>
            <w:tcW w:w="2190" w:type="dxa"/>
            <w:hideMark/>
          </w:tcPr>
          <w:p w14:paraId="37E9D56E" w14:textId="77777777" w:rsidR="009C4D05" w:rsidRPr="008D0A88" w:rsidRDefault="009C4D05" w:rsidP="009C4D05">
            <w:pPr>
              <w:textAlignment w:val="baseline"/>
              <w:rPr>
                <w:rFonts w:ascii="Times New Roman" w:eastAsia="Times New Roman" w:hAnsi="Times New Roman" w:cs="Times New Roman"/>
                <w:b/>
                <w:bCs/>
                <w:color w:val="000000" w:themeColor="text1"/>
              </w:rPr>
            </w:pPr>
            <w:proofErr w:type="spellStart"/>
            <w:r>
              <w:rPr>
                <w:rFonts w:ascii="Times New Roman" w:eastAsia="Times New Roman" w:hAnsi="Times New Roman" w:cs="Times New Roman"/>
                <w:b/>
                <w:bCs/>
                <w:color w:val="000000" w:themeColor="text1"/>
              </w:rPr>
              <w:t>ALARMmarkov</w:t>
            </w:r>
            <w:proofErr w:type="spellEnd"/>
          </w:p>
        </w:tc>
        <w:tc>
          <w:tcPr>
            <w:tcW w:w="816" w:type="dxa"/>
            <w:vAlign w:val="center"/>
            <w:hideMark/>
          </w:tcPr>
          <w:p w14:paraId="20ADB9B9" w14:textId="77777777" w:rsidR="009C4D05" w:rsidRPr="009C4D05" w:rsidRDefault="009C4D05" w:rsidP="008D0A88">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30.75 </w:t>
            </w:r>
          </w:p>
        </w:tc>
        <w:tc>
          <w:tcPr>
            <w:tcW w:w="816" w:type="dxa"/>
            <w:vAlign w:val="center"/>
            <w:hideMark/>
          </w:tcPr>
          <w:p w14:paraId="43BAC31A" w14:textId="77777777" w:rsidR="009C4D05" w:rsidRPr="009C4D05" w:rsidRDefault="009C4D05" w:rsidP="008D0A88">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30.75 </w:t>
            </w:r>
          </w:p>
        </w:tc>
        <w:tc>
          <w:tcPr>
            <w:tcW w:w="943" w:type="dxa"/>
            <w:vAlign w:val="center"/>
            <w:hideMark/>
          </w:tcPr>
          <w:p w14:paraId="6EDB8E90" w14:textId="77777777" w:rsidR="009C4D05" w:rsidRPr="009C4D05" w:rsidRDefault="009C4D05" w:rsidP="008D0A88">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46.12 </w:t>
            </w:r>
          </w:p>
        </w:tc>
        <w:tc>
          <w:tcPr>
            <w:tcW w:w="900" w:type="dxa"/>
            <w:vAlign w:val="center"/>
            <w:hideMark/>
          </w:tcPr>
          <w:p w14:paraId="77F92D82" w14:textId="77777777" w:rsidR="009C4D05" w:rsidRPr="009C4D05" w:rsidRDefault="009C4D05" w:rsidP="008D0A88">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30.00 </w:t>
            </w:r>
          </w:p>
        </w:tc>
        <w:tc>
          <w:tcPr>
            <w:tcW w:w="990" w:type="dxa"/>
            <w:vAlign w:val="center"/>
            <w:hideMark/>
          </w:tcPr>
          <w:p w14:paraId="2D53D687" w14:textId="77777777" w:rsidR="009C4D05" w:rsidRPr="009C4D05" w:rsidRDefault="009C4D05" w:rsidP="008D0A88">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+15.38 </w:t>
            </w:r>
          </w:p>
        </w:tc>
        <w:tc>
          <w:tcPr>
            <w:tcW w:w="990" w:type="dxa"/>
            <w:vAlign w:val="center"/>
            <w:hideMark/>
          </w:tcPr>
          <w:p w14:paraId="0459CE17" w14:textId="77777777" w:rsidR="009C4D05" w:rsidRPr="009C4D05" w:rsidRDefault="009C4D05" w:rsidP="008D0A88">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+2.99 </w:t>
            </w:r>
          </w:p>
        </w:tc>
        <w:tc>
          <w:tcPr>
            <w:tcW w:w="1080" w:type="dxa"/>
            <w:vAlign w:val="center"/>
            <w:hideMark/>
          </w:tcPr>
          <w:p w14:paraId="0444020E" w14:textId="77777777" w:rsidR="009C4D05" w:rsidRPr="009C4D05" w:rsidRDefault="009C4D05" w:rsidP="008D0A88">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0.020 </w:t>
            </w:r>
          </w:p>
        </w:tc>
        <w:tc>
          <w:tcPr>
            <w:tcW w:w="630" w:type="dxa"/>
            <w:vAlign w:val="center"/>
            <w:hideMark/>
          </w:tcPr>
          <w:p w14:paraId="400F8151" w14:textId="77777777" w:rsidR="008D0A88" w:rsidRPr="009C4D05" w:rsidRDefault="009C4D05" w:rsidP="008D0A88">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6/8 </w:t>
            </w:r>
          </w:p>
        </w:tc>
      </w:tr>
    </w:tbl>
    <w:p w14:paraId="268C8F97" w14:textId="77777777" w:rsidR="008D0A88" w:rsidRDefault="008D0A88" w:rsidP="009C4D05">
      <w:pPr>
        <w:spacing w:after="0"/>
        <w:textAlignment w:val="baseline"/>
        <w:rPr>
          <w:rFonts w:ascii="Times New Roman" w:eastAsia="Times New Roman" w:hAnsi="Times New Roman" w:cs="Times New Roman"/>
          <w:i/>
          <w:iCs/>
          <w:color w:val="000000" w:themeColor="text1"/>
        </w:rPr>
      </w:pPr>
    </w:p>
    <w:p w14:paraId="796D6E37" w14:textId="77777777" w:rsidR="008D0A88" w:rsidRDefault="008D0A88" w:rsidP="009C4D05">
      <w:pPr>
        <w:spacing w:after="0"/>
        <w:textAlignment w:val="baseline"/>
        <w:rPr>
          <w:rFonts w:ascii="Times New Roman" w:eastAsia="Times New Roman" w:hAnsi="Times New Roman" w:cs="Times New Roman"/>
          <w:i/>
          <w:iCs/>
          <w:color w:val="000000" w:themeColor="text1"/>
        </w:rPr>
      </w:pPr>
    </w:p>
    <w:p w14:paraId="762A366D" w14:textId="77777777" w:rsidR="008D0A88" w:rsidRDefault="008D0A88" w:rsidP="009C4D05">
      <w:pPr>
        <w:spacing w:after="0"/>
        <w:textAlignment w:val="baseline"/>
        <w:rPr>
          <w:rFonts w:ascii="Times New Roman" w:eastAsia="Times New Roman" w:hAnsi="Times New Roman" w:cs="Times New Roman"/>
          <w:i/>
          <w:iCs/>
          <w:color w:val="000000" w:themeColor="text1"/>
        </w:rPr>
      </w:pPr>
      <w:r>
        <w:rPr>
          <w:rFonts w:ascii="Times New Roman" w:eastAsia="Times New Roman" w:hAnsi="Times New Roman" w:cs="Times New Roman"/>
          <w:noProof/>
          <w:color w:val="000000" w:themeColor="text1"/>
        </w:rPr>
        <w:drawing>
          <wp:inline distT="0" distB="0" distL="0" distR="0" wp14:anchorId="7E381B21" wp14:editId="4975B1FB">
            <wp:extent cx="5334000" cy="2159000"/>
            <wp:effectExtent l="0" t="0" r="0" b="0"/>
            <wp:docPr id="279628428" name="Picture 5" descr="Figure 7. Initial conflict counts across the 2×2×2 design. Matched-aware and matched-naive produce identical counts in every cell (specificity check); mismatched-aware dramatically exceeds matched-aware in every 17-node cell (sensitivity gain, red arrow shown for Domain17-Tree); mismatched-naive collapses back below matched-aware in every 17-node cell (naive suppression, green arrow shown for Domain17-Tree). ALARM shows the same qualitative pattern with attenuated magnitudes on the tree axis (mm-a only slightly above matched, 34.1 vs 30.8, p=0.40) but preserved strength on the markov axis (mm-a=46.1 vs matched=30.8, p=0.02, 6/8 posi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gure 7. Initial conflict counts across the 2×2×2 design. Matched-aware and matched-naive produce identical counts in every cell (specificity check); mismatched-aware dramatically exceeds matched-aware in every 17-node cell (sensitivity gain, red arrow shown for Domain17-Tree); mismatched-naive collapses back below matched-aware in every 17-node cell (naive suppression, green arrow shown for Domain17-Tree). ALARM shows the same qualitative pattern with attenuated magnitudes on the tree axis (mm-a only slightly above matched, 34.1 vs 30.8, p=0.40) but preserved strength on the markov axis (mm-a=46.1 vs matched=30.8, p=0.02, 6/8 positiv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34000" cy="2159000"/>
                    </a:xfrm>
                    <a:prstGeom prst="rect">
                      <a:avLst/>
                    </a:prstGeom>
                    <a:noFill/>
                    <a:ln>
                      <a:noFill/>
                    </a:ln>
                  </pic:spPr>
                </pic:pic>
              </a:graphicData>
            </a:graphic>
          </wp:inline>
        </w:drawing>
      </w:r>
    </w:p>
    <w:p w14:paraId="4C76FCF1" w14:textId="77777777" w:rsidR="008D0A88" w:rsidRDefault="008D0A88" w:rsidP="009C4D05">
      <w:pPr>
        <w:spacing w:after="0"/>
        <w:textAlignment w:val="baseline"/>
        <w:rPr>
          <w:rFonts w:ascii="Times New Roman" w:eastAsia="Times New Roman" w:hAnsi="Times New Roman" w:cs="Times New Roman"/>
          <w:i/>
          <w:iCs/>
          <w:color w:val="000000" w:themeColor="text1"/>
        </w:rPr>
      </w:pPr>
    </w:p>
    <w:p w14:paraId="0BD28172" w14:textId="77777777" w:rsidR="008D0A88" w:rsidRDefault="008D0A88" w:rsidP="009C4D05">
      <w:pPr>
        <w:spacing w:after="0"/>
        <w:textAlignment w:val="baseline"/>
        <w:rPr>
          <w:rFonts w:ascii="Times New Roman" w:eastAsia="Times New Roman" w:hAnsi="Times New Roman" w:cs="Times New Roman"/>
          <w:i/>
          <w:iCs/>
          <w:color w:val="000000" w:themeColor="text1"/>
        </w:rPr>
      </w:pPr>
    </w:p>
    <w:p w14:paraId="25BCA85D" w14:textId="79210BDB" w:rsidR="009C4D05" w:rsidRDefault="009C4D05" w:rsidP="009C4D05">
      <w:pPr>
        <w:spacing w:after="0"/>
        <w:textAlignment w:val="baseline"/>
        <w:rPr>
          <w:rFonts w:ascii="Times New Roman" w:eastAsia="Times New Roman" w:hAnsi="Times New Roman" w:cs="Times New Roman"/>
          <w:i/>
          <w:iCs/>
          <w:color w:val="000000" w:themeColor="text1"/>
          <w:bdr w:val="none" w:sz="0" w:space="0" w:color="auto" w:frame="1"/>
          <w:shd w:val="clear" w:color="auto" w:fill="C6C6C6"/>
        </w:rPr>
      </w:pPr>
      <w:r>
        <w:rPr>
          <w:rFonts w:ascii="Times New Roman" w:eastAsia="Times New Roman" w:hAnsi="Times New Roman" w:cs="Times New Roman"/>
          <w:i/>
          <w:iCs/>
          <w:color w:val="000000" w:themeColor="text1"/>
        </w:rPr>
        <w:t>Figure 7. Initial conflict counts across the 2×2×2 design. Matched-aware and matched-naive produce identical counts in every cell (specificity check); mismatched-aware dramatically exceeds matched-aware in every 17-node cell (sensitivity gain, red arrow shown for Domain17-</w:t>
      </w:r>
      <w:r>
        <w:rPr>
          <w:rFonts w:ascii="Times New Roman" w:eastAsia="Times New Roman" w:hAnsi="Times New Roman" w:cs="Times New Roman"/>
          <w:i/>
          <w:iCs/>
          <w:color w:val="000000" w:themeColor="text1"/>
        </w:rPr>
        <w:lastRenderedPageBreak/>
        <w:t>Tree); mismatched-naive collapses back below matched-aware in every 17-node cell (naive suppression, green arrow shown for Domain17-Tree). ALARM shows the same qualitative pattern with attenuated magnitudes on the tree axis (mm-</w:t>
      </w:r>
      <w:proofErr w:type="gramStart"/>
      <w:r w:rsidR="00D5243B">
        <w:rPr>
          <w:rFonts w:ascii="Times New Roman" w:eastAsia="Times New Roman" w:hAnsi="Times New Roman" w:cs="Times New Roman"/>
          <w:i/>
          <w:iCs/>
          <w:color w:val="000000" w:themeColor="text1"/>
        </w:rPr>
        <w:t>a</w:t>
      </w:r>
      <w:proofErr w:type="gramEnd"/>
      <w:r w:rsidR="00D5243B">
        <w:rPr>
          <w:rFonts w:ascii="Times New Roman" w:eastAsia="Times New Roman" w:hAnsi="Times New Roman" w:cs="Times New Roman"/>
          <w:i/>
          <w:iCs/>
          <w:color w:val="000000" w:themeColor="text1"/>
        </w:rPr>
        <w:t xml:space="preserve"> only</w:t>
      </w:r>
      <w:r>
        <w:rPr>
          <w:rFonts w:ascii="Times New Roman" w:eastAsia="Times New Roman" w:hAnsi="Times New Roman" w:cs="Times New Roman"/>
          <w:i/>
          <w:iCs/>
          <w:color w:val="000000" w:themeColor="text1"/>
        </w:rPr>
        <w:t xml:space="preserve"> slightly above matched, 34.1 vs 30.8, p=0.40) but preserved strength on </w:t>
      </w:r>
      <w:r w:rsidR="00D5243B">
        <w:rPr>
          <w:rFonts w:ascii="Times New Roman" w:eastAsia="Times New Roman" w:hAnsi="Times New Roman" w:cs="Times New Roman"/>
          <w:i/>
          <w:iCs/>
          <w:color w:val="000000" w:themeColor="text1"/>
        </w:rPr>
        <w:t>the Markov axis</w:t>
      </w:r>
      <w:r>
        <w:rPr>
          <w:rFonts w:ascii="Times New Roman" w:eastAsia="Times New Roman" w:hAnsi="Times New Roman" w:cs="Times New Roman"/>
          <w:i/>
          <w:iCs/>
          <w:color w:val="000000" w:themeColor="text1"/>
        </w:rPr>
        <w:t xml:space="preserve"> (mm-a=46.1 vs matched=30.8, p=0.02, 6/8 positive).</w:t>
      </w:r>
      <w:r>
        <w:rPr>
          <w:rFonts w:ascii="Times New Roman" w:eastAsia="Times New Roman" w:hAnsi="Times New Roman" w:cs="Times New Roman"/>
          <w:i/>
          <w:iCs/>
          <w:color w:val="000000" w:themeColor="text1"/>
          <w:bdr w:val="none" w:sz="0" w:space="0" w:color="auto" w:frame="1"/>
          <w:shd w:val="clear" w:color="auto" w:fill="C6C6C6"/>
        </w:rPr>
        <w:t> </w:t>
      </w:r>
    </w:p>
    <w:p w14:paraId="5193C93B" w14:textId="77777777" w:rsidR="008D0A88" w:rsidRPr="009C4D05" w:rsidRDefault="008D0A88" w:rsidP="009C4D05">
      <w:pPr>
        <w:spacing w:after="0"/>
        <w:textAlignment w:val="baseline"/>
        <w:rPr>
          <w:rFonts w:ascii="Times New Roman" w:eastAsia="Times New Roman" w:hAnsi="Times New Roman" w:cs="Times New Roman"/>
          <w:i/>
          <w:iCs/>
          <w:color w:val="000000" w:themeColor="text1"/>
        </w:rPr>
      </w:pPr>
    </w:p>
    <w:p w14:paraId="2D9BC748"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The sensitivity gain — mismatched-aware detects strictly more initial conflicts than matched-aware — is replicated across all four (network × axis) 17-node conditions, with 8/8 per-scenario replication in three of them and 6/8 in the fourth. The effect size varies substantially, from +2.6 conflicts (Kanno-Markov) to +30.8 (Domain17-tree). Its magnitude tracks approximately how much the mismatched substrate’s diagnoses diverge from BBN’s: tree, which cannot represent joint uncertainty, produces large divergence and large sensitivity gain; Markov on Kanno, whose CPTs concentrate most mutual information in dominant parents so that the Markov approximation is nearly lossless, produces small divergence and small sensitivity gain. The relationship is monotone across the four 17-node cells.</w:t>
      </w:r>
      <w:r>
        <w:rPr>
          <w:rFonts w:ascii="Times New Roman" w:eastAsia="Times New Roman" w:hAnsi="Times New Roman" w:cs="Times New Roman"/>
          <w:color w:val="000000" w:themeColor="text1"/>
          <w:bdr w:val="none" w:sz="0" w:space="0" w:color="auto" w:frame="1"/>
          <w:shd w:val="clear" w:color="auto" w:fill="C6C6C6"/>
        </w:rPr>
        <w:t> </w:t>
      </w:r>
    </w:p>
    <w:p w14:paraId="4C38EFBE" w14:textId="03D0D689"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t>On ALARM, the sensitivity gain is preserved on the Markov axis (+15.4 conflicts, t=+2.99, p=0.02, 6/8 positive) but attenuated to non-significance on the tree axis (+3.4 conflicts, t=+0.90, p=0.40, 5/8 positive). The reversal of the tree-vs-</w:t>
      </w:r>
      <w:proofErr w:type="spellStart"/>
      <w:r>
        <w:rPr>
          <w:rFonts w:ascii="Times New Roman" w:eastAsia="Times New Roman" w:hAnsi="Times New Roman" w:cs="Times New Roman"/>
          <w:color w:val="000000" w:themeColor="text1"/>
        </w:rPr>
        <w:t>markov</w:t>
      </w:r>
      <w:proofErr w:type="spellEnd"/>
      <w:r w:rsidR="00D5243B">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effect-size ordering on ALARM — where Markov produces a larger sensitivity gain than tree, opposite the pattern on the two 17-node networks — is a scale-related finding we return to in §6.5.</w:t>
      </w:r>
      <w:r>
        <w:rPr>
          <w:rFonts w:ascii="Times New Roman" w:eastAsia="Times New Roman" w:hAnsi="Times New Roman" w:cs="Times New Roman"/>
          <w:color w:val="000000" w:themeColor="text1"/>
          <w:bdr w:val="none" w:sz="0" w:space="0" w:color="auto" w:frame="1"/>
          <w:shd w:val="clear" w:color="auto" w:fill="C6C6C6"/>
        </w:rPr>
        <w:t> </w:t>
      </w:r>
    </w:p>
    <w:p w14:paraId="3F523D04" w14:textId="77777777" w:rsidR="008D0A88" w:rsidRPr="009C4D05" w:rsidRDefault="008D0A88" w:rsidP="009C4D05">
      <w:pPr>
        <w:spacing w:after="0"/>
        <w:textAlignment w:val="baseline"/>
        <w:rPr>
          <w:rFonts w:ascii="Times New Roman" w:eastAsia="Times New Roman" w:hAnsi="Times New Roman" w:cs="Times New Roman"/>
          <w:color w:val="000000" w:themeColor="text1"/>
        </w:rPr>
      </w:pPr>
    </w:p>
    <w:p w14:paraId="50FB98FF" w14:textId="77777777" w:rsidR="009C4D05" w:rsidRDefault="009C4D05" w:rsidP="009C4D05">
      <w:pPr>
        <w:spacing w:after="0"/>
        <w:textAlignment w:val="baseline"/>
        <w:rPr>
          <w:rFonts w:ascii="Times New Roman" w:eastAsia="Times New Roman" w:hAnsi="Times New Roman" w:cs="Times New Roman"/>
          <w:b/>
          <w:bCs/>
          <w:color w:val="000000" w:themeColor="text1"/>
          <w:bdr w:val="none" w:sz="0" w:space="0" w:color="auto" w:frame="1"/>
          <w:shd w:val="clear" w:color="auto" w:fill="C6C6C6"/>
        </w:rPr>
      </w:pPr>
      <w:r>
        <w:rPr>
          <w:rFonts w:ascii="Times New Roman" w:eastAsia="Times New Roman" w:hAnsi="Times New Roman" w:cs="Times New Roman"/>
          <w:b/>
          <w:bCs/>
          <w:color w:val="000000" w:themeColor="text1"/>
        </w:rPr>
        <w:t>5.4 The illusory-agreement mechanism: naive projection suppresses the signal</w:t>
      </w:r>
      <w:r>
        <w:rPr>
          <w:rFonts w:ascii="Times New Roman" w:eastAsia="Times New Roman" w:hAnsi="Times New Roman" w:cs="Times New Roman"/>
          <w:b/>
          <w:bCs/>
          <w:color w:val="000000" w:themeColor="text1"/>
          <w:bdr w:val="none" w:sz="0" w:space="0" w:color="auto" w:frame="1"/>
          <w:shd w:val="clear" w:color="auto" w:fill="C6C6C6"/>
        </w:rPr>
        <w:t> </w:t>
      </w:r>
    </w:p>
    <w:p w14:paraId="5F29409B" w14:textId="77777777" w:rsidR="008D0A88" w:rsidRPr="009C4D05" w:rsidRDefault="008D0A88" w:rsidP="009C4D05">
      <w:pPr>
        <w:spacing w:after="0"/>
        <w:textAlignment w:val="baseline"/>
        <w:rPr>
          <w:rFonts w:ascii="Times New Roman" w:eastAsia="Times New Roman" w:hAnsi="Times New Roman" w:cs="Times New Roman"/>
          <w:b/>
          <w:bCs/>
          <w:color w:val="000000" w:themeColor="text1"/>
        </w:rPr>
      </w:pPr>
    </w:p>
    <w:p w14:paraId="4CA06F92" w14:textId="6AC3D9AD"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Table 4 reports the mismatched-aware minus mismatched-naive contrast.</w:t>
      </w:r>
      <w:r>
        <w:rPr>
          <w:rFonts w:ascii="Times New Roman" w:eastAsia="Times New Roman" w:hAnsi="Times New Roman" w:cs="Times New Roman"/>
          <w:color w:val="000000" w:themeColor="text1"/>
          <w:bdr w:val="none" w:sz="0" w:space="0" w:color="auto" w:frame="1"/>
          <w:shd w:val="clear" w:color="auto" w:fill="C6C6C6"/>
        </w:rPr>
        <w:t> </w:t>
      </w:r>
    </w:p>
    <w:p w14:paraId="41E51825" w14:textId="77777777" w:rsidR="008D0A88" w:rsidRDefault="008D0A88" w:rsidP="009C4D05">
      <w:pPr>
        <w:spacing w:after="0"/>
        <w:textAlignment w:val="baseline"/>
        <w:rPr>
          <w:rFonts w:ascii="Times New Roman" w:eastAsia="Times New Roman" w:hAnsi="Times New Roman" w:cs="Times New Roman"/>
          <w:color w:val="000000" w:themeColor="text1"/>
        </w:rPr>
      </w:pPr>
    </w:p>
    <w:p w14:paraId="0CDC10B2" w14:textId="0F9512D5" w:rsidR="009C4D05" w:rsidRPr="008D0A88" w:rsidRDefault="009C4D05" w:rsidP="009C4D05">
      <w:pPr>
        <w:spacing w:after="0"/>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Table 4. Naive suppression of mismatch-induced conflicts.</w:t>
      </w:r>
      <w:r>
        <w:rPr>
          <w:rFonts w:ascii="Times New Roman" w:eastAsia="Times New Roman" w:hAnsi="Times New Roman" w:cs="Times New Roman"/>
          <w:b/>
          <w:bCs/>
          <w:color w:val="000000" w:themeColor="text1"/>
          <w:bdr w:val="none" w:sz="0" w:space="0" w:color="auto" w:frame="1"/>
          <w:shd w:val="clear" w:color="auto" w:fill="C6C6C6"/>
        </w:rPr>
        <w:t> </w:t>
      </w:r>
    </w:p>
    <w:tbl>
      <w:tblPr>
        <w:tblStyle w:val="TableGrid"/>
        <w:tblW w:w="7858" w:type="dxa"/>
        <w:tblLook w:val="04A0" w:firstRow="1" w:lastRow="0" w:firstColumn="1" w:lastColumn="0" w:noHBand="0" w:noVBand="1"/>
      </w:tblPr>
      <w:tblGrid>
        <w:gridCol w:w="2245"/>
        <w:gridCol w:w="1340"/>
        <w:gridCol w:w="1095"/>
        <w:gridCol w:w="1095"/>
        <w:gridCol w:w="2083"/>
      </w:tblGrid>
      <w:tr w:rsidR="009C4D05" w:rsidRPr="009C4D05" w14:paraId="455F289A" w14:textId="77777777" w:rsidTr="008D0A88">
        <w:trPr>
          <w:trHeight w:val="300"/>
        </w:trPr>
        <w:tc>
          <w:tcPr>
            <w:tcW w:w="2245" w:type="dxa"/>
            <w:hideMark/>
          </w:tcPr>
          <w:p w14:paraId="71793A8D" w14:textId="77777777" w:rsidR="009C4D05" w:rsidRPr="008D0A88"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Cell </w:t>
            </w:r>
          </w:p>
        </w:tc>
        <w:tc>
          <w:tcPr>
            <w:tcW w:w="1340" w:type="dxa"/>
            <w:hideMark/>
          </w:tcPr>
          <w:p w14:paraId="52C834C6" w14:textId="77777777" w:rsidR="008D0A88"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 xml:space="preserve">mm-a – </w:t>
            </w:r>
          </w:p>
          <w:p w14:paraId="659D6C04" w14:textId="77777777" w:rsidR="009C4D05" w:rsidRPr="008D0A88"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mm-n </w:t>
            </w:r>
          </w:p>
        </w:tc>
        <w:tc>
          <w:tcPr>
            <w:tcW w:w="1095" w:type="dxa"/>
            <w:hideMark/>
          </w:tcPr>
          <w:p w14:paraId="6345B85B" w14:textId="749BD40B" w:rsidR="009C4D05" w:rsidRPr="008D0A88"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w:t>
            </w:r>
          </w:p>
        </w:tc>
        <w:tc>
          <w:tcPr>
            <w:tcW w:w="1095" w:type="dxa"/>
            <w:hideMark/>
          </w:tcPr>
          <w:p w14:paraId="04BE7246" w14:textId="77777777" w:rsidR="009C4D05" w:rsidRPr="008D0A88"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p </w:t>
            </w:r>
          </w:p>
        </w:tc>
        <w:tc>
          <w:tcPr>
            <w:tcW w:w="2083" w:type="dxa"/>
            <w:hideMark/>
          </w:tcPr>
          <w:p w14:paraId="19329A89" w14:textId="77777777" w:rsidR="009C4D05" w:rsidRPr="008D0A88"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Positive scenarios </w:t>
            </w:r>
          </w:p>
        </w:tc>
      </w:tr>
      <w:tr w:rsidR="009C4D05" w:rsidRPr="009C4D05" w14:paraId="30E829C4" w14:textId="77777777" w:rsidTr="008D0A88">
        <w:trPr>
          <w:trHeight w:val="300"/>
        </w:trPr>
        <w:tc>
          <w:tcPr>
            <w:tcW w:w="2245" w:type="dxa"/>
            <w:hideMark/>
          </w:tcPr>
          <w:p w14:paraId="6EA56393" w14:textId="77777777" w:rsidR="009C4D05" w:rsidRPr="008D0A88"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Domain17 Tree </w:t>
            </w:r>
          </w:p>
        </w:tc>
        <w:tc>
          <w:tcPr>
            <w:tcW w:w="1340" w:type="dxa"/>
            <w:hideMark/>
          </w:tcPr>
          <w:p w14:paraId="59E9F11E"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+37.50 </w:t>
            </w:r>
          </w:p>
        </w:tc>
        <w:tc>
          <w:tcPr>
            <w:tcW w:w="1095" w:type="dxa"/>
            <w:hideMark/>
          </w:tcPr>
          <w:p w14:paraId="7ED3E955"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+14.43 </w:t>
            </w:r>
          </w:p>
        </w:tc>
        <w:tc>
          <w:tcPr>
            <w:tcW w:w="1095" w:type="dxa"/>
            <w:hideMark/>
          </w:tcPr>
          <w:p w14:paraId="22AB4F20"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&lt;0.0001 </w:t>
            </w:r>
          </w:p>
        </w:tc>
        <w:tc>
          <w:tcPr>
            <w:tcW w:w="2083" w:type="dxa"/>
            <w:hideMark/>
          </w:tcPr>
          <w:p w14:paraId="2107522C"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8/8 </w:t>
            </w:r>
          </w:p>
        </w:tc>
      </w:tr>
      <w:tr w:rsidR="009C4D05" w:rsidRPr="009C4D05" w14:paraId="7D326AB3" w14:textId="77777777" w:rsidTr="008D0A88">
        <w:trPr>
          <w:trHeight w:val="300"/>
        </w:trPr>
        <w:tc>
          <w:tcPr>
            <w:tcW w:w="2245" w:type="dxa"/>
            <w:hideMark/>
          </w:tcPr>
          <w:p w14:paraId="55971E7E" w14:textId="77777777" w:rsidR="009C4D05" w:rsidRPr="008D0A88"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Domain17 Markov </w:t>
            </w:r>
          </w:p>
        </w:tc>
        <w:tc>
          <w:tcPr>
            <w:tcW w:w="1340" w:type="dxa"/>
            <w:hideMark/>
          </w:tcPr>
          <w:p w14:paraId="21799CE5"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+28.12 </w:t>
            </w:r>
          </w:p>
        </w:tc>
        <w:tc>
          <w:tcPr>
            <w:tcW w:w="1095" w:type="dxa"/>
            <w:hideMark/>
          </w:tcPr>
          <w:p w14:paraId="5184BDDB"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+10.84 </w:t>
            </w:r>
          </w:p>
        </w:tc>
        <w:tc>
          <w:tcPr>
            <w:tcW w:w="1095" w:type="dxa"/>
            <w:hideMark/>
          </w:tcPr>
          <w:p w14:paraId="6C744B07"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&lt;0.0001 </w:t>
            </w:r>
          </w:p>
        </w:tc>
        <w:tc>
          <w:tcPr>
            <w:tcW w:w="2083" w:type="dxa"/>
            <w:hideMark/>
          </w:tcPr>
          <w:p w14:paraId="446F4EE4"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8/8 </w:t>
            </w:r>
          </w:p>
        </w:tc>
      </w:tr>
      <w:tr w:rsidR="009C4D05" w:rsidRPr="009C4D05" w14:paraId="6E2547C7" w14:textId="77777777" w:rsidTr="008D0A88">
        <w:trPr>
          <w:trHeight w:val="300"/>
        </w:trPr>
        <w:tc>
          <w:tcPr>
            <w:tcW w:w="2245" w:type="dxa"/>
            <w:hideMark/>
          </w:tcPr>
          <w:p w14:paraId="1234481F" w14:textId="77777777" w:rsidR="009C4D05" w:rsidRPr="008D0A88"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Kanno Tree </w:t>
            </w:r>
          </w:p>
        </w:tc>
        <w:tc>
          <w:tcPr>
            <w:tcW w:w="1340" w:type="dxa"/>
            <w:hideMark/>
          </w:tcPr>
          <w:p w14:paraId="7ABF80BC"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+19.12 </w:t>
            </w:r>
          </w:p>
        </w:tc>
        <w:tc>
          <w:tcPr>
            <w:tcW w:w="1095" w:type="dxa"/>
            <w:hideMark/>
          </w:tcPr>
          <w:p w14:paraId="1FBAA456"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+5.48 </w:t>
            </w:r>
          </w:p>
        </w:tc>
        <w:tc>
          <w:tcPr>
            <w:tcW w:w="1095" w:type="dxa"/>
            <w:hideMark/>
          </w:tcPr>
          <w:p w14:paraId="563F2A6B"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0.001 </w:t>
            </w:r>
          </w:p>
        </w:tc>
        <w:tc>
          <w:tcPr>
            <w:tcW w:w="2083" w:type="dxa"/>
            <w:hideMark/>
          </w:tcPr>
          <w:p w14:paraId="504B2708"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8/8 </w:t>
            </w:r>
          </w:p>
        </w:tc>
      </w:tr>
      <w:tr w:rsidR="009C4D05" w:rsidRPr="009C4D05" w14:paraId="38544AF4" w14:textId="77777777" w:rsidTr="008D0A88">
        <w:trPr>
          <w:trHeight w:val="300"/>
        </w:trPr>
        <w:tc>
          <w:tcPr>
            <w:tcW w:w="2245" w:type="dxa"/>
            <w:hideMark/>
          </w:tcPr>
          <w:p w14:paraId="273F9062" w14:textId="77777777" w:rsidR="009C4D05" w:rsidRPr="008D0A88"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Kanno Markov </w:t>
            </w:r>
          </w:p>
        </w:tc>
        <w:tc>
          <w:tcPr>
            <w:tcW w:w="1340" w:type="dxa"/>
            <w:hideMark/>
          </w:tcPr>
          <w:p w14:paraId="4C92D971"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+2.62 </w:t>
            </w:r>
          </w:p>
        </w:tc>
        <w:tc>
          <w:tcPr>
            <w:tcW w:w="1095" w:type="dxa"/>
            <w:hideMark/>
          </w:tcPr>
          <w:p w14:paraId="38AC95B9"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+3.86 </w:t>
            </w:r>
          </w:p>
        </w:tc>
        <w:tc>
          <w:tcPr>
            <w:tcW w:w="1095" w:type="dxa"/>
            <w:hideMark/>
          </w:tcPr>
          <w:p w14:paraId="4FF8B399"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0.006 </w:t>
            </w:r>
          </w:p>
        </w:tc>
        <w:tc>
          <w:tcPr>
            <w:tcW w:w="2083" w:type="dxa"/>
            <w:hideMark/>
          </w:tcPr>
          <w:p w14:paraId="130EC2CF"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6/8 </w:t>
            </w:r>
          </w:p>
        </w:tc>
      </w:tr>
      <w:tr w:rsidR="009C4D05" w:rsidRPr="009C4D05" w14:paraId="0B5CBD30" w14:textId="77777777" w:rsidTr="008D0A88">
        <w:trPr>
          <w:trHeight w:val="300"/>
        </w:trPr>
        <w:tc>
          <w:tcPr>
            <w:tcW w:w="2245" w:type="dxa"/>
            <w:hideMark/>
          </w:tcPr>
          <w:p w14:paraId="14CC3E9F" w14:textId="77777777" w:rsidR="009C4D05" w:rsidRPr="008D0A88"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ALARM Tree </w:t>
            </w:r>
          </w:p>
        </w:tc>
        <w:tc>
          <w:tcPr>
            <w:tcW w:w="1340" w:type="dxa"/>
            <w:hideMark/>
          </w:tcPr>
          <w:p w14:paraId="7A8B1447"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+7.88 </w:t>
            </w:r>
          </w:p>
        </w:tc>
        <w:tc>
          <w:tcPr>
            <w:tcW w:w="1095" w:type="dxa"/>
            <w:hideMark/>
          </w:tcPr>
          <w:p w14:paraId="4495E2AD"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+1.31 </w:t>
            </w:r>
          </w:p>
        </w:tc>
        <w:tc>
          <w:tcPr>
            <w:tcW w:w="1095" w:type="dxa"/>
            <w:hideMark/>
          </w:tcPr>
          <w:p w14:paraId="4525DC7E"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0.23 </w:t>
            </w:r>
          </w:p>
        </w:tc>
        <w:tc>
          <w:tcPr>
            <w:tcW w:w="2083" w:type="dxa"/>
            <w:hideMark/>
          </w:tcPr>
          <w:p w14:paraId="588898DA"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5/8 </w:t>
            </w:r>
          </w:p>
        </w:tc>
      </w:tr>
      <w:tr w:rsidR="009C4D05" w:rsidRPr="009C4D05" w14:paraId="7C9B9EA2" w14:textId="77777777" w:rsidTr="008D0A88">
        <w:trPr>
          <w:trHeight w:val="300"/>
        </w:trPr>
        <w:tc>
          <w:tcPr>
            <w:tcW w:w="2245" w:type="dxa"/>
            <w:hideMark/>
          </w:tcPr>
          <w:p w14:paraId="7FD293AE" w14:textId="77777777" w:rsidR="009C4D05" w:rsidRPr="008D0A88"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ALARM Markov </w:t>
            </w:r>
          </w:p>
        </w:tc>
        <w:tc>
          <w:tcPr>
            <w:tcW w:w="1340" w:type="dxa"/>
            <w:hideMark/>
          </w:tcPr>
          <w:p w14:paraId="4C7871B9"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+16.12 </w:t>
            </w:r>
          </w:p>
        </w:tc>
        <w:tc>
          <w:tcPr>
            <w:tcW w:w="1095" w:type="dxa"/>
            <w:hideMark/>
          </w:tcPr>
          <w:p w14:paraId="43AF9542"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+3.40 </w:t>
            </w:r>
          </w:p>
        </w:tc>
        <w:tc>
          <w:tcPr>
            <w:tcW w:w="1095" w:type="dxa"/>
            <w:hideMark/>
          </w:tcPr>
          <w:p w14:paraId="41FDD0A8"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0.011 </w:t>
            </w:r>
          </w:p>
        </w:tc>
        <w:tc>
          <w:tcPr>
            <w:tcW w:w="2083" w:type="dxa"/>
            <w:hideMark/>
          </w:tcPr>
          <w:p w14:paraId="413A820A"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6/8 </w:t>
            </w:r>
          </w:p>
        </w:tc>
      </w:tr>
    </w:tbl>
    <w:p w14:paraId="7921A75B" w14:textId="77777777" w:rsidR="008D0A88" w:rsidRDefault="008D0A88" w:rsidP="009C4D05">
      <w:pPr>
        <w:spacing w:after="0"/>
        <w:textAlignment w:val="baseline"/>
        <w:rPr>
          <w:rFonts w:ascii="Times New Roman" w:eastAsia="Times New Roman" w:hAnsi="Times New Roman" w:cs="Times New Roman"/>
          <w:color w:val="000000" w:themeColor="text1"/>
        </w:rPr>
      </w:pPr>
    </w:p>
    <w:p w14:paraId="1B1E4DAA" w14:textId="120670BF"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t>In every 17-node cell, naive projection detects substantially fewer initial conflicts than aware projection in the mismatched composition. The suppression averages 80% of the conflicts that aware projection surfaces — that is, four out of five conflicts that aware projection would have flagged are structurally invisible to naive projection because the naive engine models the mismatched teammate as if it computed the same way as the modeling agent, producing (falsely) agreeing diagnoses. On ALARM</w:t>
      </w:r>
      <w:r w:rsidR="00CB30E1">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 xml:space="preserve"> the pattern is preserved but attenuated: on the Markov axis, naive suppression is +16.1 (p=0.01, 6/</w:t>
      </w:r>
      <w:proofErr w:type="gramStart"/>
      <w:r>
        <w:rPr>
          <w:rFonts w:ascii="Times New Roman" w:eastAsia="Times New Roman" w:hAnsi="Times New Roman" w:cs="Times New Roman"/>
          <w:color w:val="000000" w:themeColor="text1"/>
        </w:rPr>
        <w:t>8) —</w:t>
      </w:r>
      <w:proofErr w:type="gramEnd"/>
      <w:r>
        <w:rPr>
          <w:rFonts w:ascii="Times New Roman" w:eastAsia="Times New Roman" w:hAnsi="Times New Roman" w:cs="Times New Roman"/>
          <w:color w:val="000000" w:themeColor="text1"/>
        </w:rPr>
        <w:t xml:space="preserve"> clearly present and consistent with the 17-nodemarkov cells. On the tree axis, the point estimate is +7.9 but statistically unresolved at N=5 (p=0.23, 5/</w:t>
      </w:r>
      <w:proofErr w:type="gramStart"/>
      <w:r>
        <w:rPr>
          <w:rFonts w:ascii="Times New Roman" w:eastAsia="Times New Roman" w:hAnsi="Times New Roman" w:cs="Times New Roman"/>
          <w:color w:val="000000" w:themeColor="text1"/>
        </w:rPr>
        <w:t>8) —</w:t>
      </w:r>
      <w:proofErr w:type="gramEnd"/>
      <w:r>
        <w:rPr>
          <w:rFonts w:ascii="Times New Roman" w:eastAsia="Times New Roman" w:hAnsi="Times New Roman" w:cs="Times New Roman"/>
          <w:color w:val="000000" w:themeColor="text1"/>
        </w:rPr>
        <w:t xml:space="preserve"> mirroring the smaller sensitivity gain on that same cell (Table 3). The illusory-agreement mechanism is thus present in five of six cells at the </w:t>
      </w:r>
      <w:r>
        <w:rPr>
          <w:rFonts w:ascii="Times New Roman" w:eastAsia="Times New Roman" w:hAnsi="Times New Roman" w:cs="Times New Roman"/>
          <w:color w:val="000000" w:themeColor="text1"/>
        </w:rPr>
        <w:lastRenderedPageBreak/>
        <w:t>significance threshold, with the ALARM-tree sixth cell showing the correct direction but insufficient power at N=5 to distinguish from zero.</w:t>
      </w:r>
      <w:r>
        <w:rPr>
          <w:rFonts w:ascii="Times New Roman" w:eastAsia="Times New Roman" w:hAnsi="Times New Roman" w:cs="Times New Roman"/>
          <w:color w:val="000000" w:themeColor="text1"/>
          <w:bdr w:val="none" w:sz="0" w:space="0" w:color="auto" w:frame="1"/>
          <w:shd w:val="clear" w:color="auto" w:fill="C6C6C6"/>
        </w:rPr>
        <w:t> </w:t>
      </w:r>
    </w:p>
    <w:p w14:paraId="7496331E" w14:textId="77777777" w:rsidR="008D0A88" w:rsidRPr="009C4D05" w:rsidRDefault="008D0A88" w:rsidP="009C4D05">
      <w:pPr>
        <w:spacing w:after="0"/>
        <w:textAlignment w:val="baseline"/>
        <w:rPr>
          <w:rFonts w:ascii="Times New Roman" w:eastAsia="Times New Roman" w:hAnsi="Times New Roman" w:cs="Times New Roman"/>
          <w:color w:val="000000" w:themeColor="text1"/>
        </w:rPr>
      </w:pPr>
    </w:p>
    <w:p w14:paraId="4134073A" w14:textId="77777777" w:rsidR="009C4D05" w:rsidRDefault="009C4D05" w:rsidP="009C4D05">
      <w:pPr>
        <w:spacing w:after="0"/>
        <w:textAlignment w:val="baseline"/>
        <w:rPr>
          <w:rFonts w:ascii="Times New Roman" w:eastAsia="Times New Roman" w:hAnsi="Times New Roman" w:cs="Times New Roman"/>
          <w:b/>
          <w:bCs/>
          <w:color w:val="000000" w:themeColor="text1"/>
          <w:bdr w:val="none" w:sz="0" w:space="0" w:color="auto" w:frame="1"/>
          <w:shd w:val="clear" w:color="auto" w:fill="C6C6C6"/>
        </w:rPr>
      </w:pPr>
      <w:r>
        <w:rPr>
          <w:rFonts w:ascii="Times New Roman" w:eastAsia="Times New Roman" w:hAnsi="Times New Roman" w:cs="Times New Roman"/>
          <w:b/>
          <w:bCs/>
          <w:color w:val="000000" w:themeColor="text1"/>
        </w:rPr>
        <w:t>5.5 Specificity check: matched teams show no aware/naive difference</w:t>
      </w:r>
      <w:r>
        <w:rPr>
          <w:rFonts w:ascii="Times New Roman" w:eastAsia="Times New Roman" w:hAnsi="Times New Roman" w:cs="Times New Roman"/>
          <w:b/>
          <w:bCs/>
          <w:color w:val="000000" w:themeColor="text1"/>
          <w:bdr w:val="none" w:sz="0" w:space="0" w:color="auto" w:frame="1"/>
          <w:shd w:val="clear" w:color="auto" w:fill="C6C6C6"/>
        </w:rPr>
        <w:t> </w:t>
      </w:r>
    </w:p>
    <w:p w14:paraId="04060355" w14:textId="77777777" w:rsidR="008D0A88" w:rsidRPr="009C4D05" w:rsidRDefault="008D0A88" w:rsidP="009C4D05">
      <w:pPr>
        <w:spacing w:after="0"/>
        <w:textAlignment w:val="baseline"/>
        <w:rPr>
          <w:rFonts w:ascii="Times New Roman" w:eastAsia="Times New Roman" w:hAnsi="Times New Roman" w:cs="Times New Roman"/>
          <w:b/>
          <w:bCs/>
          <w:color w:val="000000" w:themeColor="text1"/>
        </w:rPr>
      </w:pPr>
    </w:p>
    <w:p w14:paraId="75BA7D63" w14:textId="77777777"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t>In every one of the six (network × axis) conditions, and in every one of the eight scenarios per condition, matched-aware and matched-naive teams produce identical initial conflict counts on the 17-node networks (t = 0.00, p = 1.00, all scenarios) and near-identical counts on ALARM (max |m-a − m-n| = 0.007 across the 16 ALARM cell-scenario pairs, well below the noise floor of the mismatched contrasts). This is a structural consequence of the model — when all agents run the same substrate, aware and naive projections instantiate identical engines — and it serves as a design-validity check: the aware/naive difference documented in Section 5.4 is not a generic property of the projection-mode manipulation but is specifically a signature of substrate heterogeneity.</w:t>
      </w:r>
      <w:r>
        <w:rPr>
          <w:rFonts w:ascii="Times New Roman" w:eastAsia="Times New Roman" w:hAnsi="Times New Roman" w:cs="Times New Roman"/>
          <w:color w:val="000000" w:themeColor="text1"/>
          <w:bdr w:val="none" w:sz="0" w:space="0" w:color="auto" w:frame="1"/>
          <w:shd w:val="clear" w:color="auto" w:fill="C6C6C6"/>
        </w:rPr>
        <w:t> </w:t>
      </w:r>
    </w:p>
    <w:p w14:paraId="0E6930EF" w14:textId="77777777" w:rsidR="008D0A88" w:rsidRPr="009C4D05" w:rsidRDefault="008D0A88" w:rsidP="009C4D05">
      <w:pPr>
        <w:spacing w:after="0"/>
        <w:textAlignment w:val="baseline"/>
        <w:rPr>
          <w:rFonts w:ascii="Times New Roman" w:eastAsia="Times New Roman" w:hAnsi="Times New Roman" w:cs="Times New Roman"/>
          <w:color w:val="000000" w:themeColor="text1"/>
        </w:rPr>
      </w:pPr>
    </w:p>
    <w:p w14:paraId="7486FEF0" w14:textId="77777777" w:rsidR="009C4D05" w:rsidRDefault="009C4D05" w:rsidP="009C4D05">
      <w:pPr>
        <w:spacing w:after="0"/>
        <w:textAlignment w:val="baseline"/>
        <w:rPr>
          <w:rFonts w:ascii="Times New Roman" w:eastAsia="Times New Roman" w:hAnsi="Times New Roman" w:cs="Times New Roman"/>
          <w:b/>
          <w:bCs/>
          <w:color w:val="000000" w:themeColor="text1"/>
          <w:bdr w:val="none" w:sz="0" w:space="0" w:color="auto" w:frame="1"/>
          <w:shd w:val="clear" w:color="auto" w:fill="C6C6C6"/>
        </w:rPr>
      </w:pPr>
      <w:r>
        <w:rPr>
          <w:rFonts w:ascii="Times New Roman" w:eastAsia="Times New Roman" w:hAnsi="Times New Roman" w:cs="Times New Roman"/>
          <w:b/>
          <w:bCs/>
          <w:color w:val="000000" w:themeColor="text1"/>
        </w:rPr>
        <w:t>5.6 Phantom vs. real: extra conflicts are only half as productive</w:t>
      </w:r>
    </w:p>
    <w:p w14:paraId="79EF2D47" w14:textId="77777777" w:rsidR="008D0A88" w:rsidRPr="009C4D05" w:rsidRDefault="008D0A88" w:rsidP="009C4D05">
      <w:pPr>
        <w:spacing w:after="0"/>
        <w:textAlignment w:val="baseline"/>
        <w:rPr>
          <w:rFonts w:ascii="Times New Roman" w:eastAsia="Times New Roman" w:hAnsi="Times New Roman" w:cs="Times New Roman"/>
          <w:b/>
          <w:bCs/>
          <w:color w:val="000000" w:themeColor="text1"/>
        </w:rPr>
      </w:pPr>
    </w:p>
    <w:p w14:paraId="67A8F2CE" w14:textId="1DB13CAA" w:rsidR="009C4D05" w:rsidRDefault="003E4689"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t xml:space="preserve">The sensitivity gain in Section 5.3 raises the question: are the additional conflicts detected by mismatch-aware teams useful — do they surface nodes where the detecting agent’s L1 is wrong and needs correction — or are they noise, illusory disagreements with a teammate model on nodes where the actor is already right? </w:t>
      </w:r>
      <w:r w:rsidR="009C4D05">
        <w:rPr>
          <w:rFonts w:ascii="Times New Roman" w:eastAsia="Times New Roman" w:hAnsi="Times New Roman" w:cs="Times New Roman"/>
          <w:color w:val="000000" w:themeColor="text1"/>
        </w:rPr>
        <w:t>Table 5 decomposes the sensitivity gain into extra real conflicts (actor’s L1 disagrees with ground truth) and extra phantom conflicts (actor’s L1 agrees with ground truth).</w:t>
      </w:r>
      <w:r w:rsidR="009C4D05">
        <w:rPr>
          <w:rFonts w:ascii="Times New Roman" w:eastAsia="Times New Roman" w:hAnsi="Times New Roman" w:cs="Times New Roman"/>
          <w:color w:val="000000" w:themeColor="text1"/>
          <w:bdr w:val="none" w:sz="0" w:space="0" w:color="auto" w:frame="1"/>
          <w:shd w:val="clear" w:color="auto" w:fill="C6C6C6"/>
        </w:rPr>
        <w:t> </w:t>
      </w:r>
    </w:p>
    <w:p w14:paraId="5777A5F8" w14:textId="77777777" w:rsidR="008D0A88" w:rsidRPr="009C4D05" w:rsidRDefault="008D0A88" w:rsidP="009C4D05">
      <w:pPr>
        <w:spacing w:after="0"/>
        <w:textAlignment w:val="baseline"/>
        <w:rPr>
          <w:rFonts w:ascii="Times New Roman" w:eastAsia="Times New Roman" w:hAnsi="Times New Roman" w:cs="Times New Roman"/>
          <w:color w:val="000000" w:themeColor="text1"/>
        </w:rPr>
      </w:pPr>
    </w:p>
    <w:p w14:paraId="242712D5" w14:textId="345F619F" w:rsidR="009C4D05" w:rsidRPr="008D0A88" w:rsidRDefault="009C4D05" w:rsidP="009C4D05">
      <w:pPr>
        <w:spacing w:after="0"/>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Table 5. Phantom/real decomposition of the extra conflicts.</w:t>
      </w:r>
      <w:r>
        <w:rPr>
          <w:rFonts w:ascii="Times New Roman" w:eastAsia="Times New Roman" w:hAnsi="Times New Roman" w:cs="Times New Roman"/>
          <w:b/>
          <w:bCs/>
          <w:color w:val="000000" w:themeColor="text1"/>
          <w:bdr w:val="none" w:sz="0" w:space="0" w:color="auto" w:frame="1"/>
          <w:shd w:val="clear" w:color="auto" w:fill="C6C6C6"/>
        </w:rPr>
        <w:t> </w:t>
      </w:r>
    </w:p>
    <w:tbl>
      <w:tblPr>
        <w:tblStyle w:val="TableGrid"/>
        <w:tblW w:w="8581" w:type="dxa"/>
        <w:tblLook w:val="04A0" w:firstRow="1" w:lastRow="0" w:firstColumn="1" w:lastColumn="0" w:noHBand="0" w:noVBand="1"/>
      </w:tblPr>
      <w:tblGrid>
        <w:gridCol w:w="2250"/>
        <w:gridCol w:w="1323"/>
        <w:gridCol w:w="1843"/>
        <w:gridCol w:w="3165"/>
      </w:tblGrid>
      <w:tr w:rsidR="009C4D05" w:rsidRPr="009C4D05" w14:paraId="722081EF" w14:textId="77777777" w:rsidTr="00FC51E2">
        <w:trPr>
          <w:trHeight w:val="300"/>
        </w:trPr>
        <w:tc>
          <w:tcPr>
            <w:tcW w:w="2250" w:type="dxa"/>
            <w:hideMark/>
          </w:tcPr>
          <w:p w14:paraId="0A0A32E6" w14:textId="77777777" w:rsidR="009C4D05" w:rsidRPr="008D0A88"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Cell </w:t>
            </w:r>
          </w:p>
        </w:tc>
        <w:tc>
          <w:tcPr>
            <w:tcW w:w="1323" w:type="dxa"/>
            <w:hideMark/>
          </w:tcPr>
          <w:p w14:paraId="444F59E7" w14:textId="77777777" w:rsidR="009C4D05" w:rsidRPr="008D0A88"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Extra real </w:t>
            </w:r>
          </w:p>
        </w:tc>
        <w:tc>
          <w:tcPr>
            <w:tcW w:w="1843" w:type="dxa"/>
            <w:hideMark/>
          </w:tcPr>
          <w:p w14:paraId="3338BD2C" w14:textId="77777777" w:rsidR="009C4D05" w:rsidRPr="008D0A88"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Extra phantom </w:t>
            </w:r>
          </w:p>
        </w:tc>
        <w:tc>
          <w:tcPr>
            <w:tcW w:w="3165" w:type="dxa"/>
            <w:hideMark/>
          </w:tcPr>
          <w:p w14:paraId="22BE1B0D" w14:textId="77777777" w:rsidR="009C4D05" w:rsidRPr="008D0A88"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Phantom fraction of total </w:t>
            </w:r>
          </w:p>
        </w:tc>
      </w:tr>
      <w:tr w:rsidR="009C4D05" w:rsidRPr="009C4D05" w14:paraId="0B0C5751" w14:textId="77777777" w:rsidTr="00FC51E2">
        <w:trPr>
          <w:trHeight w:val="300"/>
        </w:trPr>
        <w:tc>
          <w:tcPr>
            <w:tcW w:w="2250" w:type="dxa"/>
            <w:hideMark/>
          </w:tcPr>
          <w:p w14:paraId="6425A136" w14:textId="77777777" w:rsidR="009C4D05" w:rsidRPr="008D0A88"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Domain17 tree </w:t>
            </w:r>
          </w:p>
        </w:tc>
        <w:tc>
          <w:tcPr>
            <w:tcW w:w="1323" w:type="dxa"/>
            <w:hideMark/>
          </w:tcPr>
          <w:p w14:paraId="12A68A55"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+17.25 </w:t>
            </w:r>
          </w:p>
        </w:tc>
        <w:tc>
          <w:tcPr>
            <w:tcW w:w="1843" w:type="dxa"/>
            <w:hideMark/>
          </w:tcPr>
          <w:p w14:paraId="1A15A012"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+13.50 </w:t>
            </w:r>
          </w:p>
        </w:tc>
        <w:tc>
          <w:tcPr>
            <w:tcW w:w="3165" w:type="dxa"/>
            <w:hideMark/>
          </w:tcPr>
          <w:p w14:paraId="4AAA8710"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43.9% </w:t>
            </w:r>
          </w:p>
        </w:tc>
      </w:tr>
      <w:tr w:rsidR="009C4D05" w:rsidRPr="009C4D05" w14:paraId="6B20B494" w14:textId="77777777" w:rsidTr="00FC51E2">
        <w:trPr>
          <w:trHeight w:val="300"/>
        </w:trPr>
        <w:tc>
          <w:tcPr>
            <w:tcW w:w="2250" w:type="dxa"/>
            <w:hideMark/>
          </w:tcPr>
          <w:p w14:paraId="737E847B" w14:textId="77777777" w:rsidR="009C4D05" w:rsidRPr="008D0A88"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Kanno tree </w:t>
            </w:r>
          </w:p>
        </w:tc>
        <w:tc>
          <w:tcPr>
            <w:tcW w:w="1323" w:type="dxa"/>
            <w:hideMark/>
          </w:tcPr>
          <w:p w14:paraId="57AD5C84"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+8.25 </w:t>
            </w:r>
          </w:p>
        </w:tc>
        <w:tc>
          <w:tcPr>
            <w:tcW w:w="1843" w:type="dxa"/>
            <w:hideMark/>
          </w:tcPr>
          <w:p w14:paraId="30C31B48"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+1.88 </w:t>
            </w:r>
          </w:p>
        </w:tc>
        <w:tc>
          <w:tcPr>
            <w:tcW w:w="3165" w:type="dxa"/>
            <w:hideMark/>
          </w:tcPr>
          <w:p w14:paraId="47FA5F24"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18.5% </w:t>
            </w:r>
          </w:p>
        </w:tc>
      </w:tr>
      <w:tr w:rsidR="009C4D05" w:rsidRPr="009C4D05" w14:paraId="3AB78A38" w14:textId="77777777" w:rsidTr="00FC51E2">
        <w:trPr>
          <w:trHeight w:val="300"/>
        </w:trPr>
        <w:tc>
          <w:tcPr>
            <w:tcW w:w="2250" w:type="dxa"/>
            <w:hideMark/>
          </w:tcPr>
          <w:p w14:paraId="60BC7D10" w14:textId="77777777" w:rsidR="009C4D05" w:rsidRPr="008D0A88"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ALARM tree </w:t>
            </w:r>
          </w:p>
        </w:tc>
        <w:tc>
          <w:tcPr>
            <w:tcW w:w="1323" w:type="dxa"/>
            <w:hideMark/>
          </w:tcPr>
          <w:p w14:paraId="3A16ACD9"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+9.00 </w:t>
            </w:r>
          </w:p>
        </w:tc>
        <w:tc>
          <w:tcPr>
            <w:tcW w:w="1843" w:type="dxa"/>
            <w:hideMark/>
          </w:tcPr>
          <w:p w14:paraId="12F1D91A"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−5.62 </w:t>
            </w:r>
          </w:p>
        </w:tc>
        <w:tc>
          <w:tcPr>
            <w:tcW w:w="3165" w:type="dxa"/>
            <w:hideMark/>
          </w:tcPr>
          <w:p w14:paraId="63226CDF"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negative (net phantom reduction) </w:t>
            </w:r>
          </w:p>
        </w:tc>
      </w:tr>
      <w:tr w:rsidR="009C4D05" w:rsidRPr="009C4D05" w14:paraId="43F90221" w14:textId="77777777" w:rsidTr="00FC51E2">
        <w:trPr>
          <w:trHeight w:val="300"/>
        </w:trPr>
        <w:tc>
          <w:tcPr>
            <w:tcW w:w="2250" w:type="dxa"/>
            <w:hideMark/>
          </w:tcPr>
          <w:p w14:paraId="2E3E4CB4" w14:textId="1BF2CC0F" w:rsidR="009C4D05" w:rsidRPr="008D0A88"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Domain17</w:t>
            </w:r>
            <w:r w:rsidR="00FC51E2">
              <w:rPr>
                <w:rFonts w:ascii="Times New Roman" w:eastAsia="Times New Roman" w:hAnsi="Times New Roman" w:cs="Times New Roman"/>
                <w:b/>
                <w:bCs/>
                <w:color w:val="000000" w:themeColor="text1"/>
              </w:rPr>
              <w:t xml:space="preserve"> </w:t>
            </w:r>
            <w:proofErr w:type="spellStart"/>
            <w:r>
              <w:rPr>
                <w:rFonts w:ascii="Times New Roman" w:eastAsia="Times New Roman" w:hAnsi="Times New Roman" w:cs="Times New Roman"/>
                <w:b/>
                <w:bCs/>
                <w:color w:val="000000" w:themeColor="text1"/>
              </w:rPr>
              <w:t>markov</w:t>
            </w:r>
            <w:proofErr w:type="spellEnd"/>
          </w:p>
        </w:tc>
        <w:tc>
          <w:tcPr>
            <w:tcW w:w="1323" w:type="dxa"/>
            <w:hideMark/>
          </w:tcPr>
          <w:p w14:paraId="27115E5F"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+10.50 </w:t>
            </w:r>
          </w:p>
        </w:tc>
        <w:tc>
          <w:tcPr>
            <w:tcW w:w="1843" w:type="dxa"/>
            <w:hideMark/>
          </w:tcPr>
          <w:p w14:paraId="605E3934"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+10.88 </w:t>
            </w:r>
          </w:p>
        </w:tc>
        <w:tc>
          <w:tcPr>
            <w:tcW w:w="3165" w:type="dxa"/>
            <w:hideMark/>
          </w:tcPr>
          <w:p w14:paraId="19C55FCD"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50.9% </w:t>
            </w:r>
          </w:p>
        </w:tc>
      </w:tr>
      <w:tr w:rsidR="009C4D05" w:rsidRPr="009C4D05" w14:paraId="1CB88805" w14:textId="77777777" w:rsidTr="00FC51E2">
        <w:trPr>
          <w:trHeight w:val="300"/>
        </w:trPr>
        <w:tc>
          <w:tcPr>
            <w:tcW w:w="2250" w:type="dxa"/>
            <w:hideMark/>
          </w:tcPr>
          <w:p w14:paraId="42D390D8" w14:textId="4C8B0E40" w:rsidR="009C4D05" w:rsidRPr="008D0A88"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Kanno</w:t>
            </w:r>
            <w:r w:rsidR="00FC51E2">
              <w:rPr>
                <w:rFonts w:ascii="Times New Roman" w:eastAsia="Times New Roman" w:hAnsi="Times New Roman" w:cs="Times New Roman"/>
                <w:b/>
                <w:bCs/>
                <w:color w:val="000000" w:themeColor="text1"/>
              </w:rPr>
              <w:t xml:space="preserve"> </w:t>
            </w:r>
            <w:proofErr w:type="spellStart"/>
            <w:r>
              <w:rPr>
                <w:rFonts w:ascii="Times New Roman" w:eastAsia="Times New Roman" w:hAnsi="Times New Roman" w:cs="Times New Roman"/>
                <w:b/>
                <w:bCs/>
                <w:color w:val="000000" w:themeColor="text1"/>
              </w:rPr>
              <w:t>markov</w:t>
            </w:r>
            <w:proofErr w:type="spellEnd"/>
          </w:p>
        </w:tc>
        <w:tc>
          <w:tcPr>
            <w:tcW w:w="1323" w:type="dxa"/>
            <w:hideMark/>
          </w:tcPr>
          <w:p w14:paraId="496874AD"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+0.75 </w:t>
            </w:r>
          </w:p>
        </w:tc>
        <w:tc>
          <w:tcPr>
            <w:tcW w:w="1843" w:type="dxa"/>
            <w:hideMark/>
          </w:tcPr>
          <w:p w14:paraId="4750F241"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+1.88 </w:t>
            </w:r>
          </w:p>
        </w:tc>
        <w:tc>
          <w:tcPr>
            <w:tcW w:w="3165" w:type="dxa"/>
            <w:hideMark/>
          </w:tcPr>
          <w:p w14:paraId="076A868D"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71.4% (small N) </w:t>
            </w:r>
          </w:p>
        </w:tc>
      </w:tr>
      <w:tr w:rsidR="009C4D05" w:rsidRPr="009C4D05" w14:paraId="512EF713" w14:textId="77777777" w:rsidTr="00FC51E2">
        <w:trPr>
          <w:trHeight w:val="300"/>
        </w:trPr>
        <w:tc>
          <w:tcPr>
            <w:tcW w:w="2250" w:type="dxa"/>
            <w:hideMark/>
          </w:tcPr>
          <w:p w14:paraId="6E46F584" w14:textId="0DAE8CF0" w:rsidR="009C4D05" w:rsidRPr="008D0A88"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ALARM</w:t>
            </w:r>
            <w:r w:rsidR="00FC51E2">
              <w:rPr>
                <w:rFonts w:ascii="Times New Roman" w:eastAsia="Times New Roman" w:hAnsi="Times New Roman" w:cs="Times New Roman"/>
                <w:b/>
                <w:bCs/>
                <w:color w:val="000000" w:themeColor="text1"/>
              </w:rPr>
              <w:t xml:space="preserve"> </w:t>
            </w:r>
            <w:proofErr w:type="spellStart"/>
            <w:r>
              <w:rPr>
                <w:rFonts w:ascii="Times New Roman" w:eastAsia="Times New Roman" w:hAnsi="Times New Roman" w:cs="Times New Roman"/>
                <w:b/>
                <w:bCs/>
                <w:color w:val="000000" w:themeColor="text1"/>
              </w:rPr>
              <w:t>markov</w:t>
            </w:r>
            <w:proofErr w:type="spellEnd"/>
          </w:p>
        </w:tc>
        <w:tc>
          <w:tcPr>
            <w:tcW w:w="1323" w:type="dxa"/>
            <w:hideMark/>
          </w:tcPr>
          <w:p w14:paraId="3345B0A8"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+9.38 </w:t>
            </w:r>
          </w:p>
        </w:tc>
        <w:tc>
          <w:tcPr>
            <w:tcW w:w="1843" w:type="dxa"/>
            <w:hideMark/>
          </w:tcPr>
          <w:p w14:paraId="1396DF7F"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+6.00 </w:t>
            </w:r>
          </w:p>
        </w:tc>
        <w:tc>
          <w:tcPr>
            <w:tcW w:w="3165" w:type="dxa"/>
            <w:hideMark/>
          </w:tcPr>
          <w:p w14:paraId="1E08C309"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39.0% </w:t>
            </w:r>
          </w:p>
        </w:tc>
      </w:tr>
    </w:tbl>
    <w:p w14:paraId="11C986B2"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noProof/>
          <w:color w:val="000000" w:themeColor="text1"/>
        </w:rPr>
        <w:lastRenderedPageBreak/>
        <w:drawing>
          <wp:inline distT="0" distB="0" distL="0" distR="0" wp14:anchorId="0F86CEBE" wp14:editId="6E4C8958">
            <wp:extent cx="5067300" cy="2501900"/>
            <wp:effectExtent l="0" t="0" r="0" b="0"/>
            <wp:docPr id="1461496319" name="Picture 4" descr="Figure 8. Phantom vs. real decomposition of the mismatched-aware minus matched-aware extra initial conflicts. Green = extra real conflicts (actor’s L1 disagrees with ground truth, so coordination help is warranted); orange = extra phantom conflicts (actor is already right; the detected disagreement is illusory from an oracle’s perspective and any action taken on it is wasted). ALARM-tree is the anomaly: it shows a positive real component (+9.0) alongside a negative phantom component (−5.6), meaning the tree substrate’s argmax-collapse on ALARM’s larger inference surface actually reduces phantom conflicts relative to a matched-BBN team while adding real conflicts — an unusual configuration in which mismatch’s productive-sensitivity fraction exceeds 100% of the net sensitivity g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igure 8. Phantom vs. real decomposition of the mismatched-aware minus matched-aware extra initial conflicts. Green = extra real conflicts (actor’s L1 disagrees with ground truth, so coordination help is warranted); orange = extra phantom conflicts (actor is already right; the detected disagreement is illusory from an oracle’s perspective and any action taken on it is wasted). ALARM-tree is the anomaly: it shows a positive real component (+9.0) alongside a negative phantom component (−5.6), meaning the tree substrate’s argmax-collapse on ALARM’s larger inference surface actually reduces phantom conflicts relative to a matched-BBN team while adding real conflicts — an unusual configuration in which mismatch’s productive-sensitivity fraction exceeds 100% of the net sensitivity gai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67300" cy="2501900"/>
                    </a:xfrm>
                    <a:prstGeom prst="rect">
                      <a:avLst/>
                    </a:prstGeom>
                    <a:noFill/>
                    <a:ln>
                      <a:noFill/>
                    </a:ln>
                  </pic:spPr>
                </pic:pic>
              </a:graphicData>
            </a:graphic>
          </wp:inline>
        </w:drawing>
      </w:r>
      <w:r>
        <w:rPr>
          <w:rFonts w:ascii="Times New Roman" w:eastAsia="Times New Roman" w:hAnsi="Times New Roman" w:cs="Times New Roman"/>
          <w:color w:val="000000" w:themeColor="text1"/>
          <w:bdr w:val="none" w:sz="0" w:space="0" w:color="auto" w:frame="1"/>
          <w:shd w:val="clear" w:color="auto" w:fill="C6C6C6"/>
        </w:rPr>
        <w:t> </w:t>
      </w:r>
    </w:p>
    <w:p w14:paraId="7B4118A0" w14:textId="77777777" w:rsidR="009C4D05" w:rsidRDefault="009C4D05" w:rsidP="009C4D05">
      <w:pPr>
        <w:spacing w:after="0"/>
        <w:textAlignment w:val="baseline"/>
        <w:rPr>
          <w:rFonts w:ascii="Times New Roman" w:eastAsia="Times New Roman" w:hAnsi="Times New Roman" w:cs="Times New Roman"/>
          <w:i/>
          <w:iCs/>
          <w:color w:val="000000" w:themeColor="text1"/>
          <w:bdr w:val="none" w:sz="0" w:space="0" w:color="auto" w:frame="1"/>
          <w:shd w:val="clear" w:color="auto" w:fill="C6C6C6"/>
        </w:rPr>
      </w:pPr>
      <w:r>
        <w:rPr>
          <w:rFonts w:ascii="Times New Roman" w:eastAsia="Times New Roman" w:hAnsi="Times New Roman" w:cs="Times New Roman"/>
          <w:i/>
          <w:iCs/>
          <w:color w:val="000000" w:themeColor="text1"/>
        </w:rPr>
        <w:t>Figure 8. Phantom vs. real decomposition of the mismatched-aware minus matched-aware extra initial conflicts. Green = extra real conflicts (actor’s L1 disagrees with ground truth, so coordination help is warranted); orange = extra phantom conflicts (actor is already right; the detected disagreement is illusory from an oracle’s perspective and any action taken on it is wasted). ALARM-tree is the anomaly: it shows a positive real component (+9.0) alongside a negative phantom component (−5.6), meaning the tree substrate’s argmax-collapse on ALARM’s larger inference surface actually reduces phantom conflicts relative to a matched-BBN team while adding real conflicts — an unusual configuration in which mismatch’s productive-sensitivity fraction exceeds 100% of the net sensitivity gain.</w:t>
      </w:r>
      <w:r>
        <w:rPr>
          <w:rFonts w:ascii="Times New Roman" w:eastAsia="Times New Roman" w:hAnsi="Times New Roman" w:cs="Times New Roman"/>
          <w:i/>
          <w:iCs/>
          <w:color w:val="000000" w:themeColor="text1"/>
          <w:bdr w:val="none" w:sz="0" w:space="0" w:color="auto" w:frame="1"/>
          <w:shd w:val="clear" w:color="auto" w:fill="C6C6C6"/>
        </w:rPr>
        <w:t> </w:t>
      </w:r>
    </w:p>
    <w:p w14:paraId="0B5ABAA6" w14:textId="77777777" w:rsidR="008D0A88" w:rsidRPr="009C4D05" w:rsidRDefault="008D0A88" w:rsidP="009C4D05">
      <w:pPr>
        <w:spacing w:after="0"/>
        <w:textAlignment w:val="baseline"/>
        <w:rPr>
          <w:rFonts w:ascii="Times New Roman" w:eastAsia="Times New Roman" w:hAnsi="Times New Roman" w:cs="Times New Roman"/>
          <w:i/>
          <w:iCs/>
          <w:color w:val="000000" w:themeColor="text1"/>
        </w:rPr>
      </w:pPr>
    </w:p>
    <w:p w14:paraId="32B723FC" w14:textId="065AF1B8" w:rsidR="008D0A88" w:rsidRPr="00960AF7" w:rsidRDefault="008D0A88" w:rsidP="009C4D05">
      <w:pPr>
        <w:spacing w:after="0"/>
        <w:textAlignment w:val="baseline"/>
        <w:rPr>
          <w:rFonts w:ascii="Times New Roman" w:eastAsia="Times New Roman" w:hAnsi="Times New Roman" w:cs="Times New Roman"/>
          <w:i/>
          <w:iCs/>
          <w:color w:val="000000" w:themeColor="text1"/>
        </w:rPr>
      </w:pPr>
      <w:r>
        <w:rPr>
          <w:rFonts w:ascii="Times New Roman" w:eastAsia="Times New Roman" w:hAnsi="Times New Roman" w:cs="Times New Roman"/>
          <w:color w:val="000000" w:themeColor="text1"/>
        </w:rPr>
        <w:t xml:space="preserve">We can make three observations. First, </w:t>
      </w:r>
      <w:r w:rsidR="002D63D6">
        <w:rPr>
          <w:rFonts w:ascii="Times New Roman" w:eastAsia="Times New Roman" w:hAnsi="Times New Roman" w:cs="Times New Roman"/>
          <w:color w:val="000000" w:themeColor="text1"/>
        </w:rPr>
        <w:t>t</w:t>
      </w:r>
      <w:r w:rsidR="002D63D6" w:rsidRPr="00D920E5">
        <w:rPr>
          <w:rFonts w:ascii="Times New Roman" w:eastAsia="Times New Roman" w:hAnsi="Times New Roman" w:cs="Times New Roman"/>
          <w:color w:val="000000" w:themeColor="text1"/>
        </w:rPr>
        <w:t>he real component of the sensitivity gain is non-zero in five of six cells (excluding Kanno-Markov, whose totals are close to noise), confirming that mismatched-aware teams detect genuinely wrong nodes, not merely illusory disagreements.</w:t>
      </w:r>
    </w:p>
    <w:p w14:paraId="36EC3E6F" w14:textId="77777777" w:rsidR="008D0A88"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Second, the phantom component is large and positive in most cells: roughly half of the extra sensitivity in the 17-node conditions is not productive, consisting of conflicts about nodes where the detecting agent is already correct. </w:t>
      </w:r>
    </w:p>
    <w:p w14:paraId="2023F188"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Third, and unexpectedly, ALARM-tree exhibits a negative phantom component: the mismatched-aware team has fewer phantom conflicts than the matched team, even though it detects more real ones. We interpret this as a scale-related consequence of the tree substrate’s crisp-commit behavior on a large inference surface: the tree agent’s argmax collapse on ALARM’s 23 hidden inference targets produces fewer high-confidence disagreements with teammate models on nodes where it happens to be right, effectively suppressing phantom disagreement more than it introduces new phantom disagreement. This is a specific empirical prediction the two-force account did not anticipate, and one worth investigating further in follow-up work.</w:t>
      </w:r>
      <w:r>
        <w:rPr>
          <w:rFonts w:ascii="Times New Roman" w:eastAsia="Times New Roman" w:hAnsi="Times New Roman" w:cs="Times New Roman"/>
          <w:color w:val="000000" w:themeColor="text1"/>
          <w:bdr w:val="none" w:sz="0" w:space="0" w:color="auto" w:frame="1"/>
          <w:shd w:val="clear" w:color="auto" w:fill="C6C6C6"/>
        </w:rPr>
        <w:t> </w:t>
      </w:r>
    </w:p>
    <w:p w14:paraId="1DF5B3A4" w14:textId="77777777"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t>The phantom fraction is not uniform across cells. Kanno-tree has the lowest positive phantom fraction (18.5% — the extra sensitivity is 81% productive) yet still shows a large positive substrate gap (matched wins by +0.053). Domain17-Markov has a middling phantom fraction (51%) and shows a mildly negative substrate gap (mismatch wins by 0.019). ALARM-tree has a negative phantom fraction and the smallest tree-axis substrate gap (+0.024). This confirms that phantom fraction alone does not predict substrate-gap sign. The sign depends on the second force, which we take up next.</w:t>
      </w:r>
      <w:r>
        <w:rPr>
          <w:rFonts w:ascii="Times New Roman" w:eastAsia="Times New Roman" w:hAnsi="Times New Roman" w:cs="Times New Roman"/>
          <w:color w:val="000000" w:themeColor="text1"/>
          <w:bdr w:val="none" w:sz="0" w:space="0" w:color="auto" w:frame="1"/>
          <w:shd w:val="clear" w:color="auto" w:fill="C6C6C6"/>
        </w:rPr>
        <w:t> </w:t>
      </w:r>
    </w:p>
    <w:p w14:paraId="75F96E1F" w14:textId="77777777" w:rsidR="008D0A88" w:rsidRPr="009C4D05" w:rsidRDefault="008D0A88" w:rsidP="009C4D05">
      <w:pPr>
        <w:spacing w:after="0"/>
        <w:textAlignment w:val="baseline"/>
        <w:rPr>
          <w:rFonts w:ascii="Times New Roman" w:eastAsia="Times New Roman" w:hAnsi="Times New Roman" w:cs="Times New Roman"/>
          <w:color w:val="000000" w:themeColor="text1"/>
        </w:rPr>
      </w:pPr>
    </w:p>
    <w:p w14:paraId="7D028967" w14:textId="77777777" w:rsidR="009C4D05" w:rsidRPr="009C4D05" w:rsidRDefault="009C4D05" w:rsidP="009C4D05">
      <w:pPr>
        <w:spacing w:after="0"/>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5.7 The two-force account</w:t>
      </w:r>
      <w:r>
        <w:rPr>
          <w:rFonts w:ascii="Times New Roman" w:eastAsia="Times New Roman" w:hAnsi="Times New Roman" w:cs="Times New Roman"/>
          <w:b/>
          <w:bCs/>
          <w:color w:val="000000" w:themeColor="text1"/>
          <w:bdr w:val="none" w:sz="0" w:space="0" w:color="auto" w:frame="1"/>
          <w:shd w:val="clear" w:color="auto" w:fill="C6C6C6"/>
        </w:rPr>
        <w:t> </w:t>
      </w:r>
    </w:p>
    <w:p w14:paraId="655E3538" w14:textId="77777777" w:rsidR="008D0A88" w:rsidRDefault="008D0A88" w:rsidP="009C4D05">
      <w:pPr>
        <w:spacing w:after="0"/>
        <w:textAlignment w:val="baseline"/>
        <w:rPr>
          <w:rFonts w:ascii="Times New Roman" w:eastAsia="Times New Roman" w:hAnsi="Times New Roman" w:cs="Times New Roman"/>
          <w:color w:val="000000" w:themeColor="text1"/>
        </w:rPr>
      </w:pPr>
    </w:p>
    <w:p w14:paraId="6A2C8879"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Sections 5.3–5.6 identify a first mechanism: substrate mismatch under aware projection produces a sensitivity gain, most of which is real but a substantial fraction of which is phantom. But the outcome data of Section 5.1 shows that this sensitivity gain does not translate into a corresponding accuracy gain. On Kanno-tree, mm-aware surfaces +8.25 extra real conflicts per scenario — nodes where at least one agent is genuinely wrong and needs coordination help — yet mm-aware loses to m-aware by 0.053 in team accuracy. The sensitivity is productive, but the team is nonetheless worse.</w:t>
      </w:r>
      <w:r>
        <w:rPr>
          <w:rFonts w:ascii="Times New Roman" w:eastAsia="Times New Roman" w:hAnsi="Times New Roman" w:cs="Times New Roman"/>
          <w:color w:val="000000" w:themeColor="text1"/>
          <w:bdr w:val="none" w:sz="0" w:space="0" w:color="auto" w:frame="1"/>
          <w:shd w:val="clear" w:color="auto" w:fill="C6C6C6"/>
        </w:rPr>
        <w:t> </w:t>
      </w:r>
    </w:p>
    <w:p w14:paraId="497C6FB6" w14:textId="357EEDDC" w:rsidR="009C4D05" w:rsidRDefault="009C4D05" w:rsidP="009C4D05">
      <w:pPr>
        <w:spacing w:after="0"/>
        <w:textAlignment w:val="baseline"/>
      </w:pPr>
      <w:r>
        <w:rPr>
          <w:rFonts w:ascii="Times New Roman" w:eastAsia="Times New Roman" w:hAnsi="Times New Roman" w:cs="Times New Roman"/>
          <w:color w:val="000000" w:themeColor="text1"/>
        </w:rPr>
        <w:t xml:space="preserve">The missing piece is a second force: the quality of single-agent inference. Placing a tree engine in an otherwise-BBN team downgrades the tree agent’s own L1 diagnoses regardless of how well the projection layer models the heterogeneity. </w:t>
      </w:r>
      <w:r>
        <w:rPr>
          <w:rFonts w:ascii="Times New Roman" w:eastAsia="Times New Roman" w:hAnsi="Times New Roman" w:cs="Times New Roman"/>
        </w:rPr>
        <w:t>The tree agent contributes a weaker inference to the team’s post-cooperation belief state. This quality loss is balanced against the real component of the sensitivity gain to define the substrate gap as:</w:t>
      </w:r>
    </w:p>
    <w:p w14:paraId="45D66638" w14:textId="77777777" w:rsidR="008D0A88" w:rsidRPr="009C4D05" w:rsidRDefault="008D0A88" w:rsidP="009C4D05">
      <w:pPr>
        <w:spacing w:after="0"/>
        <w:textAlignment w:val="baseline"/>
        <w:rPr>
          <w:rFonts w:ascii="Times New Roman" w:eastAsia="Times New Roman" w:hAnsi="Times New Roman" w:cs="Times New Roman"/>
          <w:color w:val="000000" w:themeColor="text1"/>
        </w:rPr>
      </w:pPr>
    </w:p>
    <w:p w14:paraId="4D1C48A9" w14:textId="77777777" w:rsidR="009C4D05" w:rsidRPr="008D0A88" w:rsidRDefault="009C4D05" w:rsidP="009C4D05">
      <w:pPr>
        <w:spacing w:after="0"/>
        <w:ind w:left="480" w:right="480"/>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substrate gap ≈ (inference quality loss) − (real sensitivity gain) × (action efficacy)</w:t>
      </w:r>
      <w:r>
        <w:rPr>
          <w:rFonts w:ascii="Times New Roman" w:eastAsia="Times New Roman" w:hAnsi="Times New Roman" w:cs="Times New Roman"/>
          <w:b/>
          <w:bCs/>
          <w:color w:val="000000" w:themeColor="text1"/>
          <w:bdr w:val="none" w:sz="0" w:space="0" w:color="auto" w:frame="1"/>
          <w:shd w:val="clear" w:color="auto" w:fill="C6C6C6"/>
        </w:rPr>
        <w:t> </w:t>
      </w:r>
    </w:p>
    <w:p w14:paraId="511C5ED3" w14:textId="77777777" w:rsidR="009C4D05" w:rsidRPr="009C4D05" w:rsidRDefault="008D0A88"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br/>
        <w:t>Where action efficacy captures how often a detected real conflict translates into a beneficial action outcome given the noisy translation and idle-terminator dynamics of the coop phase.</w:t>
      </w:r>
      <w:r>
        <w:rPr>
          <w:rFonts w:ascii="Times New Roman" w:eastAsia="Times New Roman" w:hAnsi="Times New Roman" w:cs="Times New Roman"/>
          <w:color w:val="000000" w:themeColor="text1"/>
          <w:bdr w:val="none" w:sz="0" w:space="0" w:color="auto" w:frame="1"/>
          <w:shd w:val="clear" w:color="auto" w:fill="C6C6C6"/>
        </w:rPr>
        <w:t> </w:t>
      </w:r>
    </w:p>
    <w:p w14:paraId="486E9FEA" w14:textId="0024B506"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t xml:space="preserve">The four 17-node cells fit this account cleanly. On Kanno-Markov, both terms are small (Markov ≈ BBN in inferential power on Kanno’s CPTs), so the substrate gap is near zero (−0.002). On Domain17-Markov, quality loss is small but real-sensitivity gain is +10.5 — so mismatch wins (−0.019). On Kanno-tree, quality loss is large (tree &lt;&lt; BBN in inferential power) and real-sensitivity gain is +8.25 — so mismatch loses (+0.053). On Domain17-tree, both terms are large, but quality loss </w:t>
      </w:r>
      <w:proofErr w:type="gramStart"/>
      <w:r>
        <w:rPr>
          <w:rFonts w:ascii="Times New Roman" w:eastAsia="Times New Roman" w:hAnsi="Times New Roman" w:cs="Times New Roman"/>
          <w:color w:val="000000" w:themeColor="text1"/>
        </w:rPr>
        <w:t>dominates:</w:t>
      </w:r>
      <w:proofErr w:type="gramEnd"/>
      <w:r>
        <w:rPr>
          <w:rFonts w:ascii="Times New Roman" w:eastAsia="Times New Roman" w:hAnsi="Times New Roman" w:cs="Times New Roman"/>
          <w:color w:val="000000" w:themeColor="text1"/>
        </w:rPr>
        <w:t xml:space="preserve"> mismatch loses (+0.077).</w:t>
      </w:r>
      <w:r>
        <w:rPr>
          <w:rFonts w:ascii="Times New Roman" w:eastAsia="Times New Roman" w:hAnsi="Times New Roman" w:cs="Times New Roman"/>
          <w:color w:val="000000" w:themeColor="text1"/>
          <w:bdr w:val="none" w:sz="0" w:space="0" w:color="auto" w:frame="1"/>
          <w:shd w:val="clear" w:color="auto" w:fill="C6C6C6"/>
        </w:rPr>
        <w:t> </w:t>
      </w:r>
    </w:p>
    <w:p w14:paraId="56F9B6FD" w14:textId="77777777" w:rsidR="008D0A88" w:rsidRPr="009C4D05" w:rsidRDefault="008D0A88" w:rsidP="009C4D05">
      <w:pPr>
        <w:spacing w:after="0"/>
        <w:textAlignment w:val="baseline"/>
        <w:rPr>
          <w:rFonts w:ascii="Times New Roman" w:eastAsia="Times New Roman" w:hAnsi="Times New Roman" w:cs="Times New Roman"/>
          <w:color w:val="000000" w:themeColor="text1"/>
        </w:rPr>
      </w:pPr>
    </w:p>
    <w:p w14:paraId="44EDDFBA"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The two ALARM cells extend the picture at scale. On ALARM-tree, the substrate gap remains positive (+0.024, 6/8 scenarios) with the same sign as on Kanno-tree and Domain17-tree but at roughly half the magnitude — quality loss still dominates, but both forces are attenuated across ALARM’s 23 hidden inference targets (compared to 7 in the 17-node networks). On ALARM-Markov, the substrate gap is near-zero and slightly positive (+0.008, statistically indistinguishable from zero, 4/8 scenarios), consistent with the near-zero gap on the two 17-node Markov cells. Neither ALARM cell contradicts the two-force account; both show its predicted directional structure with the magnitude attenuation the account itself predicts once the inference surface expands. Concretely, if both sensitivity gain and quality loss scale inversely with the fraction of the network any single mismatched agent’s inference affects, then trebling the hidden inference surface (7 → 23) should attenuate both forces — which is what we observe, in both directions, on both ALARM cells.</w:t>
      </w:r>
      <w:r>
        <w:rPr>
          <w:rFonts w:ascii="Times New Roman" w:eastAsia="Times New Roman" w:hAnsi="Times New Roman" w:cs="Times New Roman"/>
          <w:color w:val="000000" w:themeColor="text1"/>
          <w:bdr w:val="none" w:sz="0" w:space="0" w:color="auto" w:frame="1"/>
          <w:shd w:val="clear" w:color="auto" w:fill="C6C6C6"/>
        </w:rPr>
        <w:t> </w:t>
      </w:r>
    </w:p>
    <w:p w14:paraId="74ACB7E9"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noProof/>
          <w:color w:val="000000" w:themeColor="text1"/>
        </w:rPr>
        <w:lastRenderedPageBreak/>
        <w:drawing>
          <wp:inline distT="0" distB="0" distL="0" distR="0" wp14:anchorId="41B5FD67" wp14:editId="6E22C487">
            <wp:extent cx="5067300" cy="3530600"/>
            <wp:effectExtent l="0" t="0" r="0" b="0"/>
            <wp:docPr id="1380214607" name="Picture 3" descr="Figure 9. The two-force account visualized. The x-axis is the real sensitivity gain (extra conflicts in mm-aware where the actor’s own L1 is wrong); the y-axis is the substrate gap. Color indicates the mismatched-axis substrate; marker shape indicates the network. The four 17-node cells occupy distinct regions of the two-force space: near-origin (Kanno-Markov, both forces small); high-sensitivity/negative-gap (Domain17-Markov, sensitivity wins); moderate-sensitivity/positive-gap (Kanno-Tree, quality loss wins); high-sensitivity/large-positive-gap (Domain17-Tree, quality loss still wins despite large sensitivity). The two ALARM cells (added as a third marker shape) sit closer to the origin than their 17-node counterparts on the same axis, reflecting attenuation of both forces at the larger network scal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igure 9. The two-force account visualized. The x-axis is the real sensitivity gain (extra conflicts in mm-aware where the actor’s own L1 is wrong); the y-axis is the substrate gap. Color indicates the mismatched-axis substrate; marker shape indicates the network. The four 17-node cells occupy distinct regions of the two-force space: near-origin (Kanno-Markov, both forces small); high-sensitivity/negative-gap (Domain17-Markov, sensitivity wins); moderate-sensitivity/positive-gap (Kanno-Tree, quality loss wins); high-sensitivity/large-positive-gap (Domain17-Tree, quality loss still wins despite large sensitivity). The two ALARM cells (added as a third marker shape) sit closer to the origin than their 17-node counterparts on the same axis, reflecting attenuation of both forces at the larger network scale (§5.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67300" cy="3530600"/>
                    </a:xfrm>
                    <a:prstGeom prst="rect">
                      <a:avLst/>
                    </a:prstGeom>
                    <a:noFill/>
                    <a:ln>
                      <a:noFill/>
                    </a:ln>
                  </pic:spPr>
                </pic:pic>
              </a:graphicData>
            </a:graphic>
          </wp:inline>
        </w:drawing>
      </w:r>
      <w:r>
        <w:rPr>
          <w:rFonts w:ascii="Times New Roman" w:eastAsia="Times New Roman" w:hAnsi="Times New Roman" w:cs="Times New Roman"/>
          <w:color w:val="000000" w:themeColor="text1"/>
          <w:bdr w:val="none" w:sz="0" w:space="0" w:color="auto" w:frame="1"/>
          <w:shd w:val="clear" w:color="auto" w:fill="C6C6C6"/>
        </w:rPr>
        <w:t> </w:t>
      </w:r>
    </w:p>
    <w:p w14:paraId="21186194" w14:textId="77777777" w:rsidR="009C4D05" w:rsidRDefault="009C4D05" w:rsidP="009C4D05">
      <w:pPr>
        <w:spacing w:after="0"/>
        <w:textAlignment w:val="baseline"/>
        <w:rPr>
          <w:rFonts w:ascii="Times New Roman" w:eastAsia="Times New Roman" w:hAnsi="Times New Roman" w:cs="Times New Roman"/>
          <w:i/>
          <w:iCs/>
          <w:color w:val="000000" w:themeColor="text1"/>
          <w:bdr w:val="none" w:sz="0" w:space="0" w:color="auto" w:frame="1"/>
          <w:shd w:val="clear" w:color="auto" w:fill="C6C6C6"/>
        </w:rPr>
      </w:pPr>
      <w:r>
        <w:rPr>
          <w:rFonts w:ascii="Times New Roman" w:eastAsia="Times New Roman" w:hAnsi="Times New Roman" w:cs="Times New Roman"/>
          <w:i/>
          <w:iCs/>
          <w:color w:val="000000" w:themeColor="text1"/>
        </w:rPr>
        <w:t>Figure 9. The two-force account visualized. The x-axis is the real sensitivity gain (extra conflicts in mm-aware where the actor’s own L1 is wrong); the y-axis is the substrate gap. Color indicates the mismatched-axis substrate; marker shape indicates the network. The four 17-node cells occupy distinct regions of the two-force space: near-origin (Kanno-Markov, both forces small); high-sensitivity/negative-gap (Domain17-Markov, sensitivity wins); moderate-sensitivity/positive-gap (Kanno-Tree, quality loss wins); high-sensitivity/large-positive-gap (Domain17-Tree, quality loss still wins despite large sensitivity). The two ALARM cells (added as a third marker shape) sit closer to the origin than their 17-node counterparts on the same axis, reflecting attenuation of both forces at the larger network scale (§5.1).</w:t>
      </w:r>
      <w:r>
        <w:rPr>
          <w:rFonts w:ascii="Times New Roman" w:eastAsia="Times New Roman" w:hAnsi="Times New Roman" w:cs="Times New Roman"/>
          <w:i/>
          <w:iCs/>
          <w:color w:val="000000" w:themeColor="text1"/>
          <w:bdr w:val="none" w:sz="0" w:space="0" w:color="auto" w:frame="1"/>
          <w:shd w:val="clear" w:color="auto" w:fill="C6C6C6"/>
        </w:rPr>
        <w:t> </w:t>
      </w:r>
    </w:p>
    <w:p w14:paraId="3F642F07" w14:textId="77777777" w:rsidR="008D0A88" w:rsidRPr="009C4D05" w:rsidRDefault="008D0A88" w:rsidP="009C4D05">
      <w:pPr>
        <w:spacing w:after="0"/>
        <w:textAlignment w:val="baseline"/>
        <w:rPr>
          <w:rFonts w:ascii="Times New Roman" w:eastAsia="Times New Roman" w:hAnsi="Times New Roman" w:cs="Times New Roman"/>
          <w:i/>
          <w:iCs/>
          <w:color w:val="000000" w:themeColor="text1"/>
        </w:rPr>
      </w:pPr>
    </w:p>
    <w:p w14:paraId="016CE53B" w14:textId="77777777"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t>This decomposition also explains why phantom fraction does not predict outcome sign: phantom conflicts do not directly contribute to accuracy (they lead to wasteful actions but not necessarily to wrong final diagnoses), so the sensitivity term in the outcome equation is best approximated by real sensitivity gain, not total sensitivity gain. Phantom conflicts are a “cost of sensitivity” that reduces action-efficacy but does not change the sign of the substrate gap.</w:t>
      </w:r>
      <w:r>
        <w:rPr>
          <w:rFonts w:ascii="Times New Roman" w:eastAsia="Times New Roman" w:hAnsi="Times New Roman" w:cs="Times New Roman"/>
          <w:color w:val="000000" w:themeColor="text1"/>
          <w:bdr w:val="none" w:sz="0" w:space="0" w:color="auto" w:frame="1"/>
          <w:shd w:val="clear" w:color="auto" w:fill="C6C6C6"/>
        </w:rPr>
        <w:t> </w:t>
      </w:r>
    </w:p>
    <w:p w14:paraId="49A2B910" w14:textId="77777777" w:rsidR="008D0A88" w:rsidRPr="009C4D05" w:rsidRDefault="008D0A88" w:rsidP="009C4D05">
      <w:pPr>
        <w:spacing w:after="0"/>
        <w:textAlignment w:val="baseline"/>
        <w:rPr>
          <w:rFonts w:ascii="Times New Roman" w:eastAsia="Times New Roman" w:hAnsi="Times New Roman" w:cs="Times New Roman"/>
          <w:color w:val="000000" w:themeColor="text1"/>
        </w:rPr>
      </w:pPr>
    </w:p>
    <w:p w14:paraId="02A2703C" w14:textId="77777777" w:rsidR="009C4D05" w:rsidRDefault="009C4D05" w:rsidP="009C4D05">
      <w:pPr>
        <w:spacing w:after="0"/>
        <w:textAlignment w:val="baseline"/>
        <w:rPr>
          <w:rFonts w:ascii="Times New Roman" w:eastAsia="Times New Roman" w:hAnsi="Times New Roman" w:cs="Times New Roman"/>
          <w:b/>
          <w:bCs/>
          <w:color w:val="000000" w:themeColor="text1"/>
          <w:bdr w:val="none" w:sz="0" w:space="0" w:color="auto" w:frame="1"/>
          <w:shd w:val="clear" w:color="auto" w:fill="C6C6C6"/>
        </w:rPr>
      </w:pPr>
      <w:r>
        <w:rPr>
          <w:rFonts w:ascii="Times New Roman" w:eastAsia="Times New Roman" w:hAnsi="Times New Roman" w:cs="Times New Roman"/>
          <w:b/>
          <w:bCs/>
          <w:color w:val="000000" w:themeColor="text1"/>
        </w:rPr>
        <w:t>5.8 Team-size scalability: what changes when N grows</w:t>
      </w:r>
      <w:r>
        <w:rPr>
          <w:rFonts w:ascii="Times New Roman" w:eastAsia="Times New Roman" w:hAnsi="Times New Roman" w:cs="Times New Roman"/>
          <w:b/>
          <w:bCs/>
          <w:color w:val="000000" w:themeColor="text1"/>
          <w:bdr w:val="none" w:sz="0" w:space="0" w:color="auto" w:frame="1"/>
          <w:shd w:val="clear" w:color="auto" w:fill="C6C6C6"/>
        </w:rPr>
        <w:t> </w:t>
      </w:r>
    </w:p>
    <w:p w14:paraId="2CB86F70" w14:textId="77777777" w:rsidR="008D0A88" w:rsidRPr="009C4D05" w:rsidRDefault="008D0A88" w:rsidP="009C4D05">
      <w:pPr>
        <w:spacing w:after="0"/>
        <w:textAlignment w:val="baseline"/>
        <w:rPr>
          <w:rFonts w:ascii="Times New Roman" w:eastAsia="Times New Roman" w:hAnsi="Times New Roman" w:cs="Times New Roman"/>
          <w:b/>
          <w:bCs/>
          <w:color w:val="000000" w:themeColor="text1"/>
        </w:rPr>
      </w:pPr>
    </w:p>
    <w:p w14:paraId="3A97D3A9" w14:textId="5BCAD6FA"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t>The primary experiments maintain a team size of N=3, following Okabe et al. (2025). To </w:t>
      </w:r>
      <w:proofErr w:type="gramStart"/>
      <w:r>
        <w:rPr>
          <w:rFonts w:ascii="Times New Roman" w:eastAsia="Times New Roman" w:hAnsi="Times New Roman" w:cs="Times New Roman"/>
          <w:color w:val="000000" w:themeColor="text1"/>
        </w:rPr>
        <w:t>probe</w:t>
      </w:r>
      <w:proofErr w:type="gramEnd"/>
      <w:r>
        <w:rPr>
          <w:rFonts w:ascii="Times New Roman" w:eastAsia="Times New Roman" w:hAnsi="Times New Roman" w:cs="Times New Roman"/>
          <w:color w:val="000000" w:themeColor="text1"/>
        </w:rPr>
        <w:t> whether the two-force account holds at larger team sizes, we extend the design to N=5 agents (four BBN plus one substrate outlier) on all three networks. On each network, we construct a 5-agent observability partition with the same structural signature — 8 unique observed nodes, 2obsper agent, 2 overlap pairs — so that per-agent observation reduces relative to the corresponding N=3 partition (Domain17: 4→2, Kanno: 4→2, ALARM: ~5→2) while total observation surface shrinks proportionally. Each agent maintains 21 belief structures (1 + (N-1) + (N-1)²= 1 + 4 + 16), up from 7 at N=3. Because per-agent inference cost and belief-</w:t>
      </w:r>
      <w:r>
        <w:rPr>
          <w:rFonts w:ascii="Times New Roman" w:eastAsia="Times New Roman" w:hAnsi="Times New Roman" w:cs="Times New Roman"/>
          <w:color w:val="000000" w:themeColor="text1"/>
        </w:rPr>
        <w:lastRenderedPageBreak/>
        <w:t>structure count both grow, we reduce to the top three hard scenarios per network from the existing pools, with N=5 replicates on Domain17 and Kanno and (due to ALARM’s substantially higher per-run cost) N=1 replicate per scenario on ALARM — defensible on the same grounds as the ALARM scale-expansion in §5.1: this is a scalability check, and we want sign/direction preservation across networks more than tight confidence intervals within any one cell.</w:t>
      </w:r>
      <w:r>
        <w:rPr>
          <w:rFonts w:ascii="Times New Roman" w:eastAsia="Times New Roman" w:hAnsi="Times New Roman" w:cs="Times New Roman"/>
          <w:color w:val="000000" w:themeColor="text1"/>
          <w:bdr w:val="none" w:sz="0" w:space="0" w:color="auto" w:frame="1"/>
          <w:shd w:val="clear" w:color="auto" w:fill="C6C6C6"/>
        </w:rPr>
        <w:t> </w:t>
      </w:r>
    </w:p>
    <w:p w14:paraId="6D9FDF2C" w14:textId="77777777" w:rsidR="008D0A88" w:rsidRPr="009C4D05" w:rsidRDefault="008D0A88" w:rsidP="009C4D05">
      <w:pPr>
        <w:spacing w:after="0"/>
        <w:textAlignment w:val="baseline"/>
        <w:rPr>
          <w:rFonts w:ascii="Times New Roman" w:eastAsia="Times New Roman" w:hAnsi="Times New Roman" w:cs="Times New Roman"/>
          <w:color w:val="000000" w:themeColor="text1"/>
        </w:rPr>
      </w:pPr>
    </w:p>
    <w:p w14:paraId="29418097" w14:textId="52D599E8" w:rsidR="009C4D05" w:rsidRPr="008D0A88" w:rsidRDefault="009C4D05" w:rsidP="009C4D05">
      <w:pPr>
        <w:spacing w:after="0"/>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Table 6. N=3 vs N=5 scalability on all three networks.</w:t>
      </w:r>
      <w:r>
        <w:rPr>
          <w:rFonts w:ascii="Times New Roman" w:eastAsia="Times New Roman" w:hAnsi="Times New Roman" w:cs="Times New Roman"/>
          <w:b/>
          <w:bCs/>
          <w:color w:val="000000" w:themeColor="text1"/>
          <w:bdr w:val="none" w:sz="0" w:space="0" w:color="auto" w:frame="1"/>
          <w:shd w:val="clear" w:color="auto" w:fill="C6C6C6"/>
        </w:rPr>
        <w:t> </w:t>
      </w:r>
    </w:p>
    <w:tbl>
      <w:tblPr>
        <w:tblStyle w:val="TableGrid"/>
        <w:tblW w:w="10165" w:type="dxa"/>
        <w:tblLayout w:type="fixed"/>
        <w:tblLook w:val="04A0" w:firstRow="1" w:lastRow="0" w:firstColumn="1" w:lastColumn="0" w:noHBand="0" w:noVBand="1"/>
      </w:tblPr>
      <w:tblGrid>
        <w:gridCol w:w="2190"/>
        <w:gridCol w:w="1889"/>
        <w:gridCol w:w="1766"/>
        <w:gridCol w:w="990"/>
        <w:gridCol w:w="1620"/>
        <w:gridCol w:w="1710"/>
      </w:tblGrid>
      <w:tr w:rsidR="009C4D05" w:rsidRPr="009C4D05" w14:paraId="41C1801A" w14:textId="77777777" w:rsidTr="00D87B1D">
        <w:trPr>
          <w:trHeight w:val="300"/>
        </w:trPr>
        <w:tc>
          <w:tcPr>
            <w:tcW w:w="2190" w:type="dxa"/>
            <w:hideMark/>
          </w:tcPr>
          <w:p w14:paraId="50EEE005" w14:textId="77777777" w:rsidR="009C4D05" w:rsidRPr="008D0A88"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Cell </w:t>
            </w:r>
          </w:p>
        </w:tc>
        <w:tc>
          <w:tcPr>
            <w:tcW w:w="1889" w:type="dxa"/>
            <w:hideMark/>
          </w:tcPr>
          <w:p w14:paraId="7714FE5F" w14:textId="77777777" w:rsidR="009C4D05" w:rsidRPr="008D0A88"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Sensitivity gain N=3 (Ext.3 primary) </w:t>
            </w:r>
          </w:p>
        </w:tc>
        <w:tc>
          <w:tcPr>
            <w:tcW w:w="1766" w:type="dxa"/>
            <w:hideMark/>
          </w:tcPr>
          <w:p w14:paraId="7B6F8B8D" w14:textId="77777777" w:rsidR="00D87B1D"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Sensitivity gain N=5 </w:t>
            </w:r>
          </w:p>
          <w:p w14:paraId="0149A8F9" w14:textId="77777777" w:rsidR="009C4D05" w:rsidRPr="008D0A88"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(scalability) </w:t>
            </w:r>
          </w:p>
        </w:tc>
        <w:tc>
          <w:tcPr>
            <w:tcW w:w="990" w:type="dxa"/>
            <w:hideMark/>
          </w:tcPr>
          <w:p w14:paraId="01E3F89B" w14:textId="77777777" w:rsidR="009C4D05" w:rsidRPr="008D0A88"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Ratio </w:t>
            </w:r>
          </w:p>
        </w:tc>
        <w:tc>
          <w:tcPr>
            <w:tcW w:w="1620" w:type="dxa"/>
            <w:hideMark/>
          </w:tcPr>
          <w:p w14:paraId="6D1A980C" w14:textId="77777777" w:rsidR="00F50176" w:rsidRDefault="009C4D05" w:rsidP="009C4D05">
            <w:pPr>
              <w:textAlignment w:val="baseline"/>
              <w:rPr>
                <w:rFonts w:ascii="Times New Roman" w:eastAsia="Times New Roman" w:hAnsi="Times New Roman" w:cs="Times New Roman"/>
                <w:b/>
                <w:bCs/>
                <w:color w:val="000000" w:themeColor="text1"/>
              </w:rPr>
            </w:pPr>
            <w:proofErr w:type="spellStart"/>
            <w:r>
              <w:rPr>
                <w:rFonts w:ascii="Times New Roman" w:eastAsia="Times New Roman" w:hAnsi="Times New Roman" w:cs="Times New Roman"/>
                <w:b/>
                <w:bCs/>
                <w:color w:val="000000" w:themeColor="text1"/>
              </w:rPr>
              <w:t>sub_gap</w:t>
            </w:r>
            <w:proofErr w:type="spellEnd"/>
            <w:r w:rsidR="00F50176">
              <w:rPr>
                <w:rFonts w:ascii="Times New Roman" w:eastAsia="Times New Roman" w:hAnsi="Times New Roman" w:cs="Times New Roman"/>
                <w:b/>
                <w:bCs/>
                <w:color w:val="000000" w:themeColor="text1"/>
              </w:rPr>
              <w:t xml:space="preserve"> </w:t>
            </w:r>
          </w:p>
          <w:p w14:paraId="21C502DE" w14:textId="6DC3016D" w:rsidR="009C4D05" w:rsidRPr="008D0A88"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N=3</w:t>
            </w:r>
          </w:p>
        </w:tc>
        <w:tc>
          <w:tcPr>
            <w:tcW w:w="1710" w:type="dxa"/>
            <w:hideMark/>
          </w:tcPr>
          <w:p w14:paraId="55935DAE" w14:textId="77777777" w:rsidR="00F50176" w:rsidRDefault="009C4D05" w:rsidP="009C4D05">
            <w:pPr>
              <w:textAlignment w:val="baseline"/>
              <w:rPr>
                <w:rFonts w:ascii="Times New Roman" w:eastAsia="Times New Roman" w:hAnsi="Times New Roman" w:cs="Times New Roman"/>
                <w:b/>
                <w:bCs/>
                <w:color w:val="000000" w:themeColor="text1"/>
              </w:rPr>
            </w:pPr>
            <w:proofErr w:type="spellStart"/>
            <w:r>
              <w:rPr>
                <w:rFonts w:ascii="Times New Roman" w:eastAsia="Times New Roman" w:hAnsi="Times New Roman" w:cs="Times New Roman"/>
                <w:b/>
                <w:bCs/>
                <w:color w:val="000000" w:themeColor="text1"/>
              </w:rPr>
              <w:t>sub_gap</w:t>
            </w:r>
            <w:proofErr w:type="spellEnd"/>
            <w:r w:rsidR="00F50176">
              <w:rPr>
                <w:rFonts w:ascii="Times New Roman" w:eastAsia="Times New Roman" w:hAnsi="Times New Roman" w:cs="Times New Roman"/>
                <w:b/>
                <w:bCs/>
                <w:color w:val="000000" w:themeColor="text1"/>
              </w:rPr>
              <w:t xml:space="preserve"> </w:t>
            </w:r>
          </w:p>
          <w:p w14:paraId="1E0BB23D" w14:textId="30480277" w:rsidR="009C4D05" w:rsidRPr="008D0A88"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N=5</w:t>
            </w:r>
          </w:p>
        </w:tc>
      </w:tr>
      <w:tr w:rsidR="009C4D05" w:rsidRPr="009C4D05" w14:paraId="7B5CA266" w14:textId="77777777" w:rsidTr="00D87B1D">
        <w:trPr>
          <w:trHeight w:val="300"/>
        </w:trPr>
        <w:tc>
          <w:tcPr>
            <w:tcW w:w="2190" w:type="dxa"/>
            <w:hideMark/>
          </w:tcPr>
          <w:p w14:paraId="375C2E8A" w14:textId="24B31DCB" w:rsidR="009C4D05" w:rsidRPr="00D87B1D"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Domain17 Tree </w:t>
            </w:r>
          </w:p>
        </w:tc>
        <w:tc>
          <w:tcPr>
            <w:tcW w:w="1889" w:type="dxa"/>
            <w:hideMark/>
          </w:tcPr>
          <w:p w14:paraId="6672320E"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+30.8 (15 reps, 8scen)</w:t>
            </w:r>
          </w:p>
        </w:tc>
        <w:tc>
          <w:tcPr>
            <w:tcW w:w="1766" w:type="dxa"/>
            <w:hideMark/>
          </w:tcPr>
          <w:p w14:paraId="45F73FB1"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+55.0 (5 reps, 3scen)</w:t>
            </w:r>
          </w:p>
        </w:tc>
        <w:tc>
          <w:tcPr>
            <w:tcW w:w="990" w:type="dxa"/>
            <w:hideMark/>
          </w:tcPr>
          <w:p w14:paraId="395345C3"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1.79× </w:t>
            </w:r>
          </w:p>
        </w:tc>
        <w:tc>
          <w:tcPr>
            <w:tcW w:w="1620" w:type="dxa"/>
            <w:hideMark/>
          </w:tcPr>
          <w:p w14:paraId="4AA82939"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+0.077 (8/8) </w:t>
            </w:r>
          </w:p>
        </w:tc>
        <w:tc>
          <w:tcPr>
            <w:tcW w:w="1710" w:type="dxa"/>
            <w:hideMark/>
          </w:tcPr>
          <w:p w14:paraId="30425250"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+0.010 (2/3) </w:t>
            </w:r>
          </w:p>
        </w:tc>
      </w:tr>
      <w:tr w:rsidR="009C4D05" w:rsidRPr="009C4D05" w14:paraId="6EB6B1A1" w14:textId="77777777" w:rsidTr="00D87B1D">
        <w:trPr>
          <w:trHeight w:val="300"/>
        </w:trPr>
        <w:tc>
          <w:tcPr>
            <w:tcW w:w="2190" w:type="dxa"/>
            <w:hideMark/>
          </w:tcPr>
          <w:p w14:paraId="2BCF0D01" w14:textId="10AF2105" w:rsidR="009C4D05" w:rsidRPr="00D87B1D"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Kanno Tree </w:t>
            </w:r>
          </w:p>
        </w:tc>
        <w:tc>
          <w:tcPr>
            <w:tcW w:w="1889" w:type="dxa"/>
            <w:hideMark/>
          </w:tcPr>
          <w:p w14:paraId="4132B335"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+10.1 (15 reps, 8scen)</w:t>
            </w:r>
          </w:p>
        </w:tc>
        <w:tc>
          <w:tcPr>
            <w:tcW w:w="1766" w:type="dxa"/>
            <w:hideMark/>
          </w:tcPr>
          <w:p w14:paraId="5111DBE8"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+30.0 (5 reps, 3scen)</w:t>
            </w:r>
          </w:p>
        </w:tc>
        <w:tc>
          <w:tcPr>
            <w:tcW w:w="990" w:type="dxa"/>
            <w:hideMark/>
          </w:tcPr>
          <w:p w14:paraId="352E4373"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2.96× </w:t>
            </w:r>
          </w:p>
        </w:tc>
        <w:tc>
          <w:tcPr>
            <w:tcW w:w="1620" w:type="dxa"/>
            <w:hideMark/>
          </w:tcPr>
          <w:p w14:paraId="4ADE6965"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+0.053 (8/8) </w:t>
            </w:r>
          </w:p>
        </w:tc>
        <w:tc>
          <w:tcPr>
            <w:tcW w:w="1710" w:type="dxa"/>
            <w:hideMark/>
          </w:tcPr>
          <w:p w14:paraId="517E20A1"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+0.056 (3/3) </w:t>
            </w:r>
          </w:p>
        </w:tc>
      </w:tr>
      <w:tr w:rsidR="009C4D05" w:rsidRPr="009C4D05" w14:paraId="659CEFA8" w14:textId="77777777" w:rsidTr="00D87B1D">
        <w:trPr>
          <w:trHeight w:val="300"/>
        </w:trPr>
        <w:tc>
          <w:tcPr>
            <w:tcW w:w="2190" w:type="dxa"/>
            <w:hideMark/>
          </w:tcPr>
          <w:p w14:paraId="71C951F7" w14:textId="730A31FC" w:rsidR="009C4D05" w:rsidRPr="00D87B1D"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ALARM Tree </w:t>
            </w:r>
          </w:p>
        </w:tc>
        <w:tc>
          <w:tcPr>
            <w:tcW w:w="1889" w:type="dxa"/>
            <w:hideMark/>
          </w:tcPr>
          <w:p w14:paraId="535A60E6"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+3.4 (5 reps, 8scen)</w:t>
            </w:r>
          </w:p>
        </w:tc>
        <w:tc>
          <w:tcPr>
            <w:tcW w:w="1766" w:type="dxa"/>
            <w:hideMark/>
          </w:tcPr>
          <w:p w14:paraId="4D442E3F"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+13.3 (1 rep, 3scen)</w:t>
            </w:r>
          </w:p>
        </w:tc>
        <w:tc>
          <w:tcPr>
            <w:tcW w:w="990" w:type="dxa"/>
            <w:hideMark/>
          </w:tcPr>
          <w:p w14:paraId="4BAF06CB"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3.95× </w:t>
            </w:r>
          </w:p>
        </w:tc>
        <w:tc>
          <w:tcPr>
            <w:tcW w:w="1620" w:type="dxa"/>
            <w:hideMark/>
          </w:tcPr>
          <w:p w14:paraId="14A486C5"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+0.024 (6/8) </w:t>
            </w:r>
          </w:p>
        </w:tc>
        <w:tc>
          <w:tcPr>
            <w:tcW w:w="1710" w:type="dxa"/>
            <w:hideMark/>
          </w:tcPr>
          <w:p w14:paraId="06D2F20F"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+0.000 (2/3) </w:t>
            </w:r>
          </w:p>
        </w:tc>
      </w:tr>
      <w:tr w:rsidR="009C4D05" w:rsidRPr="009C4D05" w14:paraId="50CA4E9F" w14:textId="77777777" w:rsidTr="00D87B1D">
        <w:trPr>
          <w:trHeight w:val="300"/>
        </w:trPr>
        <w:tc>
          <w:tcPr>
            <w:tcW w:w="2190" w:type="dxa"/>
            <w:hideMark/>
          </w:tcPr>
          <w:p w14:paraId="50A2E170" w14:textId="50F13B32" w:rsidR="009C4D05" w:rsidRPr="00D87B1D"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Domain17 Markov</w:t>
            </w:r>
          </w:p>
        </w:tc>
        <w:tc>
          <w:tcPr>
            <w:tcW w:w="1889" w:type="dxa"/>
            <w:hideMark/>
          </w:tcPr>
          <w:p w14:paraId="13AF64A0"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+21.4 (15 reps, 8scen)</w:t>
            </w:r>
          </w:p>
        </w:tc>
        <w:tc>
          <w:tcPr>
            <w:tcW w:w="1766" w:type="dxa"/>
            <w:hideMark/>
          </w:tcPr>
          <w:p w14:paraId="4AB406EC"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+81.7 (5 reps, 3scen)</w:t>
            </w:r>
          </w:p>
        </w:tc>
        <w:tc>
          <w:tcPr>
            <w:tcW w:w="990" w:type="dxa"/>
            <w:hideMark/>
          </w:tcPr>
          <w:p w14:paraId="777A596F"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3.82× </w:t>
            </w:r>
          </w:p>
        </w:tc>
        <w:tc>
          <w:tcPr>
            <w:tcW w:w="1620" w:type="dxa"/>
            <w:hideMark/>
          </w:tcPr>
          <w:p w14:paraId="2BC5DF07"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−0.018 (3/8) </w:t>
            </w:r>
          </w:p>
        </w:tc>
        <w:tc>
          <w:tcPr>
            <w:tcW w:w="1710" w:type="dxa"/>
            <w:hideMark/>
          </w:tcPr>
          <w:p w14:paraId="6109D201"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−0.030 (1/3) </w:t>
            </w:r>
          </w:p>
        </w:tc>
      </w:tr>
      <w:tr w:rsidR="009C4D05" w:rsidRPr="009C4D05" w14:paraId="220B2A23" w14:textId="77777777" w:rsidTr="00D87B1D">
        <w:trPr>
          <w:trHeight w:val="300"/>
        </w:trPr>
        <w:tc>
          <w:tcPr>
            <w:tcW w:w="2190" w:type="dxa"/>
            <w:hideMark/>
          </w:tcPr>
          <w:p w14:paraId="7C3716EE" w14:textId="32CA03D1" w:rsidR="009C4D05" w:rsidRPr="00D87B1D"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Kanno Markov</w:t>
            </w:r>
          </w:p>
        </w:tc>
        <w:tc>
          <w:tcPr>
            <w:tcW w:w="1889" w:type="dxa"/>
            <w:hideMark/>
          </w:tcPr>
          <w:p w14:paraId="68779B40"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+2.6 (15 reps, 8scen)</w:t>
            </w:r>
          </w:p>
        </w:tc>
        <w:tc>
          <w:tcPr>
            <w:tcW w:w="1766" w:type="dxa"/>
            <w:hideMark/>
          </w:tcPr>
          <w:p w14:paraId="4F8BCA94"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+15.0 (5 reps, 3scen)</w:t>
            </w:r>
          </w:p>
        </w:tc>
        <w:tc>
          <w:tcPr>
            <w:tcW w:w="990" w:type="dxa"/>
            <w:hideMark/>
          </w:tcPr>
          <w:p w14:paraId="40E771EC"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5.71× </w:t>
            </w:r>
          </w:p>
        </w:tc>
        <w:tc>
          <w:tcPr>
            <w:tcW w:w="1620" w:type="dxa"/>
            <w:hideMark/>
          </w:tcPr>
          <w:p w14:paraId="0A0A42A1"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−0.002 (3/8) </w:t>
            </w:r>
          </w:p>
        </w:tc>
        <w:tc>
          <w:tcPr>
            <w:tcW w:w="1710" w:type="dxa"/>
            <w:hideMark/>
          </w:tcPr>
          <w:p w14:paraId="46AAD070"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−0.120 (0/3) </w:t>
            </w:r>
          </w:p>
        </w:tc>
      </w:tr>
      <w:tr w:rsidR="009C4D05" w:rsidRPr="009C4D05" w14:paraId="25175418" w14:textId="77777777" w:rsidTr="00D87B1D">
        <w:trPr>
          <w:trHeight w:val="300"/>
        </w:trPr>
        <w:tc>
          <w:tcPr>
            <w:tcW w:w="2190" w:type="dxa"/>
            <w:hideMark/>
          </w:tcPr>
          <w:p w14:paraId="215C4534" w14:textId="47DBC85C" w:rsidR="009C4D05" w:rsidRPr="00D87B1D"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ALARM Markov</w:t>
            </w:r>
          </w:p>
        </w:tc>
        <w:tc>
          <w:tcPr>
            <w:tcW w:w="1889" w:type="dxa"/>
            <w:hideMark/>
          </w:tcPr>
          <w:p w14:paraId="6BD7901D"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+16.5 (5 reps, 6scen)</w:t>
            </w:r>
          </w:p>
        </w:tc>
        <w:tc>
          <w:tcPr>
            <w:tcW w:w="1766" w:type="dxa"/>
            <w:hideMark/>
          </w:tcPr>
          <w:p w14:paraId="47C09987"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+38.3 (1 rep, 3scen)</w:t>
            </w:r>
          </w:p>
        </w:tc>
        <w:tc>
          <w:tcPr>
            <w:tcW w:w="990" w:type="dxa"/>
            <w:hideMark/>
          </w:tcPr>
          <w:p w14:paraId="42CEA696"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2.32× </w:t>
            </w:r>
          </w:p>
        </w:tc>
        <w:tc>
          <w:tcPr>
            <w:tcW w:w="1620" w:type="dxa"/>
            <w:hideMark/>
          </w:tcPr>
          <w:p w14:paraId="0CD99A78"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+0.018 (4/6) </w:t>
            </w:r>
          </w:p>
        </w:tc>
        <w:tc>
          <w:tcPr>
            <w:tcW w:w="1710" w:type="dxa"/>
            <w:hideMark/>
          </w:tcPr>
          <w:p w14:paraId="13079622"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+0.009 (1/3) </w:t>
            </w:r>
          </w:p>
        </w:tc>
      </w:tr>
    </w:tbl>
    <w:p w14:paraId="01F1F1BD" w14:textId="77777777" w:rsidR="004D4AF5" w:rsidRDefault="004D4AF5">
      <w:pPr>
        <w:spacing w:after="0"/>
        <w:textAlignment w:val="baseline"/>
        <w:rPr>
          <w:rFonts w:ascii="Times New Roman" w:eastAsia="Times New Roman" w:hAnsi="Times New Roman" w:cs="Times New Roman"/>
          <w:color w:val="000000" w:themeColor="text1"/>
        </w:rPr>
      </w:pPr>
    </w:p>
    <w:p w14:paraId="0B01E9F9" w14:textId="1FC376A1" w:rsidR="00BC7761" w:rsidRDefault="007B7B89">
      <w:pPr>
        <w:spacing w:after="0"/>
        <w:textAlignment w:val="baseline"/>
      </w:pPr>
      <w:r>
        <w:rPr>
          <w:rFonts w:ascii="Times New Roman" w:eastAsia="Times New Roman" w:hAnsi="Times New Roman" w:cs="Times New Roman"/>
          <w:color w:val="000000" w:themeColor="text1"/>
        </w:rPr>
        <w:t>Four patterns emerge from Table 6. First, the sensitivity gain scales super-linearly with team size in every cell (ratios 1.79× to 5.71×, cross-cell mean 3.43×), close to the theoretical (N−1)² monitoring-surface ceiling of 4×. Second, the single-agent inference quality loss does not scale with team size, since only one agent carries the mismatched substrate. Third, the balance between the two forces shifts toward sensitivity as the team grows: on Kanno-</w:t>
      </w:r>
      <w:r w:rsidR="00F50176">
        <w:rPr>
          <w:rFonts w:ascii="Times New Roman" w:eastAsia="Times New Roman" w:hAnsi="Times New Roman" w:cs="Times New Roman"/>
          <w:color w:val="000000" w:themeColor="text1"/>
        </w:rPr>
        <w:t>Markov</w:t>
      </w:r>
      <w:r>
        <w:rPr>
          <w:rFonts w:ascii="Times New Roman" w:eastAsia="Times New Roman" w:hAnsi="Times New Roman" w:cs="Times New Roman"/>
          <w:color w:val="000000" w:themeColor="text1"/>
        </w:rPr>
        <w:t xml:space="preserve">, </w:t>
      </w:r>
      <w:proofErr w:type="spellStart"/>
      <w:r>
        <w:rPr>
          <w:rFonts w:ascii="Times New Roman" w:eastAsia="Times New Roman" w:hAnsi="Times New Roman" w:cs="Times New Roman"/>
          <w:color w:val="000000" w:themeColor="text1"/>
        </w:rPr>
        <w:t>sub_gap</w:t>
      </w:r>
      <w:proofErr w:type="spellEnd"/>
      <w:r>
        <w:rPr>
          <w:rFonts w:ascii="Times New Roman" w:eastAsia="Times New Roman" w:hAnsi="Times New Roman" w:cs="Times New Roman"/>
          <w:color w:val="000000" w:themeColor="text1"/>
        </w:rPr>
        <w:t xml:space="preserve"> moves from −0.002 (null at N=3) to −0.120 (mismatch strongly helps at N=5); on Domain17-tree, +0.077 attenuates to +0.010. Fourth, naive suppression scales similarly (cross-cell mean 2.72×), reproducing the illusory-agreement pathology of §5.4 at amplified magnitude. The specificity check continues to hold at N=5 on all three networks.</w:t>
      </w:r>
    </w:p>
    <w:p w14:paraId="6379B359" w14:textId="77777777" w:rsidR="00BC7761" w:rsidRDefault="00BC7761">
      <w:pPr>
        <w:spacing w:after="0"/>
        <w:textAlignment w:val="baseline"/>
      </w:pPr>
    </w:p>
    <w:p w14:paraId="4EE23885"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noProof/>
          <w:color w:val="000000" w:themeColor="text1"/>
        </w:rPr>
        <w:drawing>
          <wp:inline distT="0" distB="0" distL="0" distR="0" wp14:anchorId="7DC742F6" wp14:editId="0BE909A3">
            <wp:extent cx="5334000" cy="2108200"/>
            <wp:effectExtent l="0" t="0" r="0" b="0"/>
            <wp:docPr id="980096583" name="Picture 2" descr="Figure 10. Team-size scalability across three networks. Left: substrate gap by (network × axis × team-size) — solid bars N=3 (Extension 3 primary), hatched bars N=5 (this scalability check). Right: total sensitivity gain (initial conflicts, mm-aware − matched-aware) by same. Every cell shows super-linear sensitivity gain growth from N=3 to N=5 (ratios 1.79× to 5.71×, cross-cell mean 3.43×). Sub_gap moves toward the sensitivity-favoring side on 5 of 6 cells (Kanno-tree the exception). ALARM N=5 was run at N=1 replicate per scenario due to per-run cost — hence the missing error bars on the ALARM N=5 bars, and the wider per-scenario spread visible in the 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gure 10. Team-size scalability across three networks. Left: substrate gap by (network × axis × team-size) — solid bars N=3 (Extension 3 primary), hatched bars N=5 (this scalability check). Right: total sensitivity gain (initial conflicts, mm-aware − matched-aware) by same. Every cell shows super-linear sensitivity gain growth from N=3 to N=5 (ratios 1.79× to 5.71×, cross-cell mean 3.43×). Sub_gap moves toward the sensitivity-favoring side on 5 of 6 cells (Kanno-tree the exception). ALARM N=5 was run at N=1 replicate per scenario due to per-run cost — hence the missing error bars on the ALARM N=5 bars, and the wider per-scenario spread visible in the dot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34000" cy="2108200"/>
                    </a:xfrm>
                    <a:prstGeom prst="rect">
                      <a:avLst/>
                    </a:prstGeom>
                    <a:noFill/>
                    <a:ln>
                      <a:noFill/>
                    </a:ln>
                  </pic:spPr>
                </pic:pic>
              </a:graphicData>
            </a:graphic>
          </wp:inline>
        </w:drawing>
      </w:r>
      <w:r>
        <w:rPr>
          <w:rFonts w:ascii="Times New Roman" w:eastAsia="Times New Roman" w:hAnsi="Times New Roman" w:cs="Times New Roman"/>
          <w:color w:val="000000" w:themeColor="text1"/>
          <w:bdr w:val="none" w:sz="0" w:space="0" w:color="auto" w:frame="1"/>
          <w:shd w:val="clear" w:color="auto" w:fill="C6C6C6"/>
        </w:rPr>
        <w:t> </w:t>
      </w:r>
    </w:p>
    <w:p w14:paraId="579F2254" w14:textId="5412F167" w:rsidR="009C4D05" w:rsidRPr="009C4D05" w:rsidRDefault="008676B7" w:rsidP="009C4D05">
      <w:pPr>
        <w:spacing w:after="0"/>
        <w:textAlignment w:val="baseline"/>
        <w:rPr>
          <w:rFonts w:ascii="Times New Roman" w:eastAsia="Times New Roman" w:hAnsi="Times New Roman" w:cs="Times New Roman"/>
          <w:color w:val="000000" w:themeColor="text1"/>
        </w:rPr>
      </w:pPr>
      <w:r w:rsidRPr="00B82E5B">
        <w:rPr>
          <w:rFonts w:ascii="Times New Roman" w:eastAsia="Times New Roman" w:hAnsi="Times New Roman" w:cs="Times New Roman"/>
          <w:i/>
          <w:iCs/>
          <w:color w:val="000000" w:themeColor="text1"/>
          <w:bdr w:val="none" w:sz="0" w:space="0" w:color="auto" w:frame="1"/>
          <w:shd w:val="clear" w:color="auto" w:fill="C6C6C6"/>
        </w:rPr>
        <w:lastRenderedPageBreak/>
        <w:t>Figure 10. Team</w:t>
      </w:r>
      <w:r w:rsidRPr="008676B7">
        <w:rPr>
          <w:rFonts w:ascii="Times New Roman" w:eastAsia="Times New Roman" w:hAnsi="Times New Roman" w:cs="Times New Roman"/>
          <w:i/>
          <w:iCs/>
          <w:color w:val="000000" w:themeColor="text1"/>
          <w:bdr w:val="none" w:sz="0" w:space="0" w:color="auto" w:frame="1"/>
          <w:shd w:val="clear" w:color="auto" w:fill="C6C6C6"/>
        </w:rPr>
        <w:t>-size scalability across three networks. Left: substrate gap by (network × axis × team-</w:t>
      </w:r>
      <w:proofErr w:type="gramStart"/>
      <w:r w:rsidRPr="008676B7">
        <w:rPr>
          <w:rFonts w:ascii="Times New Roman" w:eastAsia="Times New Roman" w:hAnsi="Times New Roman" w:cs="Times New Roman"/>
          <w:i/>
          <w:iCs/>
          <w:color w:val="000000" w:themeColor="text1"/>
          <w:bdr w:val="none" w:sz="0" w:space="0" w:color="auto" w:frame="1"/>
          <w:shd w:val="clear" w:color="auto" w:fill="C6C6C6"/>
        </w:rPr>
        <w:t>size) —</w:t>
      </w:r>
      <w:proofErr w:type="gramEnd"/>
      <w:r w:rsidRPr="008676B7">
        <w:rPr>
          <w:rFonts w:ascii="Times New Roman" w:eastAsia="Times New Roman" w:hAnsi="Times New Roman" w:cs="Times New Roman"/>
          <w:i/>
          <w:iCs/>
          <w:color w:val="000000" w:themeColor="text1"/>
          <w:bdr w:val="none" w:sz="0" w:space="0" w:color="auto" w:frame="1"/>
          <w:shd w:val="clear" w:color="auto" w:fill="C6C6C6"/>
        </w:rPr>
        <w:t xml:space="preserve"> solid bars N=3 (Extension 3 primary), hatched bars N=5 (this scalability check). Right: total sensitivity gain (initial conflicts, mm-aware − matched-aware) by same. Every cell shows super-linear sensitivity gain </w:t>
      </w:r>
      <w:r w:rsidR="00B82E5B">
        <w:rPr>
          <w:rFonts w:ascii="Times New Roman" w:eastAsia="Times New Roman" w:hAnsi="Times New Roman" w:cs="Times New Roman"/>
          <w:i/>
          <w:iCs/>
          <w:color w:val="000000" w:themeColor="text1"/>
          <w:bdr w:val="none" w:sz="0" w:space="0" w:color="auto" w:frame="1"/>
          <w:shd w:val="clear" w:color="auto" w:fill="C6C6C6"/>
        </w:rPr>
        <w:t xml:space="preserve">from N=3 to N=5 (ratios of 1.79× to 5.71×, cross-cell mean of </w:t>
      </w:r>
      <w:r w:rsidRPr="008676B7">
        <w:rPr>
          <w:rFonts w:ascii="Times New Roman" w:eastAsia="Times New Roman" w:hAnsi="Times New Roman" w:cs="Times New Roman"/>
          <w:i/>
          <w:iCs/>
          <w:color w:val="000000" w:themeColor="text1"/>
          <w:bdr w:val="none" w:sz="0" w:space="0" w:color="auto" w:frame="1"/>
          <w:shd w:val="clear" w:color="auto" w:fill="C6C6C6"/>
        </w:rPr>
        <w:t xml:space="preserve">3.43×). </w:t>
      </w:r>
      <w:proofErr w:type="spellStart"/>
      <w:r w:rsidRPr="008676B7">
        <w:rPr>
          <w:rFonts w:ascii="Times New Roman" w:eastAsia="Times New Roman" w:hAnsi="Times New Roman" w:cs="Times New Roman"/>
          <w:i/>
          <w:iCs/>
          <w:color w:val="000000" w:themeColor="text1"/>
          <w:bdr w:val="none" w:sz="0" w:space="0" w:color="auto" w:frame="1"/>
          <w:shd w:val="clear" w:color="auto" w:fill="C6C6C6"/>
        </w:rPr>
        <w:t>Sub_gap</w:t>
      </w:r>
      <w:proofErr w:type="spellEnd"/>
      <w:r w:rsidRPr="008676B7">
        <w:rPr>
          <w:rFonts w:ascii="Times New Roman" w:eastAsia="Times New Roman" w:hAnsi="Times New Roman" w:cs="Times New Roman"/>
          <w:i/>
          <w:iCs/>
          <w:color w:val="000000" w:themeColor="text1"/>
          <w:bdr w:val="none" w:sz="0" w:space="0" w:color="auto" w:frame="1"/>
          <w:shd w:val="clear" w:color="auto" w:fill="C6C6C6"/>
        </w:rPr>
        <w:t xml:space="preserve"> moves toward the sensitivity-favoring side on 5 of 6 cells (Kanno-tree the exception). ALARM N=5 was run at N=1 replicate per scenario due to per-run cost — hence the missing error bars on the ALARM N=5 bars, and the wider per-scenario spread visible in the dots.</w:t>
      </w:r>
    </w:p>
    <w:p w14:paraId="0EF4CC75" w14:textId="77777777" w:rsidR="00BC7761" w:rsidRDefault="00BC7761">
      <w:pPr>
        <w:spacing w:after="0"/>
        <w:textAlignment w:val="baseline"/>
      </w:pPr>
    </w:p>
    <w:p w14:paraId="6054531C" w14:textId="77777777" w:rsidR="00BC7761" w:rsidRDefault="007B7B89">
      <w:pPr>
        <w:spacing w:after="0"/>
        <w:textAlignment w:val="baseline"/>
      </w:pPr>
      <w:r>
        <w:rPr>
          <w:rFonts w:ascii="Times New Roman" w:eastAsia="Times New Roman" w:hAnsi="Times New Roman" w:cs="Times New Roman"/>
          <w:color w:val="000000" w:themeColor="text1"/>
        </w:rPr>
        <w:t>Figure 11 tests whether the scaling relationship is systematic rather than coincidental: plotting N=5 sensitivity gain against N=3 sensitivity gain for each of the six (network × axis) cells yields Pearson r = +0.815, R² = 0.665, p = 0.048, with every point above the y=x reference line. A single linear relationship explains 67% of the variance across three networks, consistent with an (N−1)² monitoring-surface mechanism operating uniformly across topologies.</w:t>
      </w:r>
    </w:p>
    <w:p w14:paraId="1E053244" w14:textId="77777777" w:rsidR="00BC7761" w:rsidRDefault="00BC7761">
      <w:pPr>
        <w:spacing w:after="0"/>
        <w:textAlignment w:val="baseline"/>
      </w:pPr>
    </w:p>
    <w:p w14:paraId="48660D0E"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noProof/>
          <w:color w:val="000000" w:themeColor="text1"/>
        </w:rPr>
        <w:drawing>
          <wp:inline distT="0" distB="0" distL="0" distR="0" wp14:anchorId="6060E2CF" wp14:editId="4D71502A">
            <wp:extent cx="5067300" cy="3784600"/>
            <wp:effectExtent l="0" t="0" r="0" b="0"/>
            <wp:docPr id="1361799034" name="Picture 1" descr="Figure 11. Cross-network scaling correlation of the sensitivity gain. Each point is one of six (network × axis) combinations; x-axis is the observed total sensitivity gain at N=3 (from Extension 3 primary results), y-axis is the same measurement at N=5 (from the scalability check). Dashed line: linear fit (slope 1.94, intercept +11.5). Dotted line: y=x reference. All six points lie above the y=x line, confirming super-linear scaling in every cell. R² = 0.665, p = 0.048 despite n=6 — the scaling relationship is statistically significant and network-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igure 11. Cross-network scaling correlation of the sensitivity gain. Each point is one of six (network × axis) combinations; x-axis is the observed total sensitivity gain at N=3 (from Extension 3 primary results), y-axis is the same measurement at N=5 (from the scalability check). Dashed line: linear fit (slope 1.94, intercept +11.5). Dotted line: y=x reference. All six points lie above the y=x line, confirming super-linear scaling in every cell. R² = 0.665, p = 0.048 despite n=6 — the scaling relationship is statistically significant and network-genera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67300" cy="3784600"/>
                    </a:xfrm>
                    <a:prstGeom prst="rect">
                      <a:avLst/>
                    </a:prstGeom>
                    <a:noFill/>
                    <a:ln>
                      <a:noFill/>
                    </a:ln>
                  </pic:spPr>
                </pic:pic>
              </a:graphicData>
            </a:graphic>
          </wp:inline>
        </w:drawing>
      </w:r>
      <w:r>
        <w:rPr>
          <w:rFonts w:ascii="Times New Roman" w:eastAsia="Times New Roman" w:hAnsi="Times New Roman" w:cs="Times New Roman"/>
          <w:color w:val="000000" w:themeColor="text1"/>
          <w:bdr w:val="none" w:sz="0" w:space="0" w:color="auto" w:frame="1"/>
          <w:shd w:val="clear" w:color="auto" w:fill="C6C6C6"/>
        </w:rPr>
        <w:t> </w:t>
      </w:r>
    </w:p>
    <w:p w14:paraId="0E0FAE53" w14:textId="38E8238A" w:rsidR="009C4D05" w:rsidRPr="0061163F" w:rsidRDefault="0061163F" w:rsidP="009C4D05">
      <w:pPr>
        <w:spacing w:after="0"/>
        <w:textAlignment w:val="baseline"/>
        <w:rPr>
          <w:rFonts w:ascii="Times New Roman" w:eastAsia="Times New Roman" w:hAnsi="Times New Roman" w:cs="Times New Roman"/>
          <w:b/>
          <w:bCs/>
          <w:color w:val="000000" w:themeColor="text1"/>
        </w:rPr>
      </w:pPr>
      <w:r w:rsidRPr="0061163F">
        <w:rPr>
          <w:rFonts w:ascii="Times New Roman" w:eastAsia="Times New Roman" w:hAnsi="Times New Roman" w:cs="Times New Roman"/>
          <w:i/>
          <w:iCs/>
          <w:color w:val="000000" w:themeColor="text1"/>
          <w:bdr w:val="none" w:sz="0" w:space="0" w:color="auto" w:frame="1"/>
          <w:shd w:val="clear" w:color="auto" w:fill="C6C6C6"/>
        </w:rPr>
        <w:t>Figure 11.</w:t>
      </w:r>
      <w:r w:rsidRPr="0061163F">
        <w:rPr>
          <w:rFonts w:ascii="Times New Roman" w:eastAsia="Times New Roman" w:hAnsi="Times New Roman" w:cs="Times New Roman"/>
          <w:color w:val="000000" w:themeColor="text1"/>
          <w:bdr w:val="none" w:sz="0" w:space="0" w:color="auto" w:frame="1"/>
          <w:shd w:val="clear" w:color="auto" w:fill="C6C6C6"/>
        </w:rPr>
        <w:t xml:space="preserve"> </w:t>
      </w:r>
      <w:r w:rsidRPr="0061163F">
        <w:rPr>
          <w:rFonts w:ascii="Times New Roman" w:eastAsia="Times New Roman" w:hAnsi="Times New Roman" w:cs="Times New Roman"/>
          <w:i/>
          <w:iCs/>
          <w:color w:val="000000" w:themeColor="text1"/>
          <w:bdr w:val="none" w:sz="0" w:space="0" w:color="auto" w:frame="1"/>
          <w:shd w:val="clear" w:color="auto" w:fill="C6C6C6"/>
        </w:rPr>
        <w:t>Cross-network scaling correlation of the sensitivity gain. Each point is one of six (network × axis) combinations; x-axis is the observed total sensitivity gain at N=3 (from Extension 3 primary results), y-axis is the same measurement at N=5 (from the scalability check). Dashed line: linear fit (slope 1.94, intercept +11.5). Dotted line: y=x reference. All six points lie above the y=x line, confirming super-linear scaling in every cell. R² = 0.665, p = 0.048 despite n=6 — the scaling relationship is statistically significant and network-general.</w:t>
      </w:r>
    </w:p>
    <w:p w14:paraId="0A9F70A2" w14:textId="77777777" w:rsidR="00BC7761" w:rsidRDefault="00BC7761">
      <w:pPr>
        <w:spacing w:after="0"/>
        <w:textAlignment w:val="baseline"/>
      </w:pPr>
    </w:p>
    <w:p w14:paraId="21B0BF76" w14:textId="77777777" w:rsidR="009C4D05" w:rsidRDefault="009C4D05" w:rsidP="009C4D05">
      <w:pPr>
        <w:spacing w:after="0"/>
        <w:textAlignment w:val="baseline"/>
        <w:rPr>
          <w:rFonts w:ascii="Times New Roman" w:eastAsia="Times New Roman" w:hAnsi="Times New Roman" w:cs="Times New Roman"/>
          <w:b/>
          <w:bCs/>
          <w:color w:val="000000" w:themeColor="text1"/>
          <w:bdr w:val="none" w:sz="0" w:space="0" w:color="auto" w:frame="1"/>
          <w:shd w:val="clear" w:color="auto" w:fill="C6C6C6"/>
        </w:rPr>
      </w:pPr>
      <w:r>
        <w:rPr>
          <w:rFonts w:ascii="Times New Roman" w:eastAsia="Times New Roman" w:hAnsi="Times New Roman" w:cs="Times New Roman"/>
          <w:b/>
          <w:bCs/>
          <w:color w:val="000000" w:themeColor="text1"/>
        </w:rPr>
        <w:t>6. Discussion</w:t>
      </w:r>
      <w:r>
        <w:rPr>
          <w:rFonts w:ascii="Times New Roman" w:eastAsia="Times New Roman" w:hAnsi="Times New Roman" w:cs="Times New Roman"/>
          <w:b/>
          <w:bCs/>
          <w:color w:val="000000" w:themeColor="text1"/>
          <w:bdr w:val="none" w:sz="0" w:space="0" w:color="auto" w:frame="1"/>
          <w:shd w:val="clear" w:color="auto" w:fill="C6C6C6"/>
        </w:rPr>
        <w:t> </w:t>
      </w:r>
    </w:p>
    <w:p w14:paraId="14ADC5B8" w14:textId="77777777" w:rsidR="00D87B1D" w:rsidRPr="009C4D05" w:rsidRDefault="00D87B1D" w:rsidP="009C4D05">
      <w:pPr>
        <w:spacing w:after="0"/>
        <w:textAlignment w:val="baseline"/>
        <w:rPr>
          <w:rFonts w:ascii="Times New Roman" w:eastAsia="Times New Roman" w:hAnsi="Times New Roman" w:cs="Times New Roman"/>
          <w:b/>
          <w:bCs/>
          <w:color w:val="000000" w:themeColor="text1"/>
        </w:rPr>
      </w:pPr>
    </w:p>
    <w:p w14:paraId="6986F1FE" w14:textId="77777777" w:rsidR="009C4D05" w:rsidRDefault="009C4D05" w:rsidP="009C4D05">
      <w:pPr>
        <w:spacing w:after="0"/>
        <w:textAlignment w:val="baseline"/>
        <w:rPr>
          <w:rFonts w:ascii="Times New Roman" w:eastAsia="Times New Roman" w:hAnsi="Times New Roman" w:cs="Times New Roman"/>
          <w:b/>
          <w:bCs/>
          <w:color w:val="000000" w:themeColor="text1"/>
          <w:bdr w:val="none" w:sz="0" w:space="0" w:color="auto" w:frame="1"/>
          <w:shd w:val="clear" w:color="auto" w:fill="C6C6C6"/>
        </w:rPr>
      </w:pPr>
      <w:r>
        <w:rPr>
          <w:rFonts w:ascii="Times New Roman" w:eastAsia="Times New Roman" w:hAnsi="Times New Roman" w:cs="Times New Roman"/>
          <w:b/>
          <w:bCs/>
          <w:color w:val="000000" w:themeColor="text1"/>
        </w:rPr>
        <w:t>6.1 Research questions revisited</w:t>
      </w:r>
      <w:r>
        <w:rPr>
          <w:rFonts w:ascii="Times New Roman" w:eastAsia="Times New Roman" w:hAnsi="Times New Roman" w:cs="Times New Roman"/>
          <w:b/>
          <w:bCs/>
          <w:color w:val="000000" w:themeColor="text1"/>
          <w:bdr w:val="none" w:sz="0" w:space="0" w:color="auto" w:frame="1"/>
          <w:shd w:val="clear" w:color="auto" w:fill="C6C6C6"/>
        </w:rPr>
        <w:t> </w:t>
      </w:r>
    </w:p>
    <w:p w14:paraId="78FE886B" w14:textId="77777777" w:rsidR="00D87B1D" w:rsidRPr="009C4D05" w:rsidRDefault="00D87B1D" w:rsidP="009C4D05">
      <w:pPr>
        <w:spacing w:after="0"/>
        <w:textAlignment w:val="baseline"/>
        <w:rPr>
          <w:rFonts w:ascii="Times New Roman" w:eastAsia="Times New Roman" w:hAnsi="Times New Roman" w:cs="Times New Roman"/>
          <w:b/>
          <w:bCs/>
          <w:color w:val="000000" w:themeColor="text1"/>
        </w:rPr>
      </w:pPr>
    </w:p>
    <w:p w14:paraId="57C46755" w14:textId="77777777"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t>This paper </w:t>
      </w:r>
      <w:proofErr w:type="gramStart"/>
      <w:r>
        <w:rPr>
          <w:rFonts w:ascii="Times New Roman" w:eastAsia="Times New Roman" w:hAnsi="Times New Roman" w:cs="Times New Roman"/>
          <w:color w:val="000000" w:themeColor="text1"/>
        </w:rPr>
        <w:t>set</w:t>
      </w:r>
      <w:proofErr w:type="gramEnd"/>
      <w:r>
        <w:rPr>
          <w:rFonts w:ascii="Times New Roman" w:eastAsia="Times New Roman" w:hAnsi="Times New Roman" w:cs="Times New Roman"/>
          <w:color w:val="000000" w:themeColor="text1"/>
        </w:rPr>
        <w:t> out to answer two research questions that go beyond what any single (network × axis) cell can address.</w:t>
      </w:r>
      <w:r>
        <w:rPr>
          <w:rFonts w:ascii="Times New Roman" w:eastAsia="Times New Roman" w:hAnsi="Times New Roman" w:cs="Times New Roman"/>
          <w:color w:val="000000" w:themeColor="text1"/>
          <w:bdr w:val="none" w:sz="0" w:space="0" w:color="auto" w:frame="1"/>
          <w:shd w:val="clear" w:color="auto" w:fill="C6C6C6"/>
        </w:rPr>
        <w:t> </w:t>
      </w:r>
    </w:p>
    <w:p w14:paraId="24BD0877" w14:textId="77777777" w:rsidR="00D87B1D" w:rsidRPr="009C4D05" w:rsidRDefault="00D87B1D" w:rsidP="009C4D05">
      <w:pPr>
        <w:spacing w:after="0"/>
        <w:textAlignment w:val="baseline"/>
        <w:rPr>
          <w:rFonts w:ascii="Times New Roman" w:eastAsia="Times New Roman" w:hAnsi="Times New Roman" w:cs="Times New Roman"/>
          <w:color w:val="000000" w:themeColor="text1"/>
        </w:rPr>
      </w:pPr>
    </w:p>
    <w:p w14:paraId="02FA75E1" w14:textId="77777777" w:rsidR="009C4D05" w:rsidRPr="00D87B1D" w:rsidRDefault="009C4D05" w:rsidP="009C4D05">
      <w:pPr>
        <w:spacing w:after="0"/>
        <w:textAlignment w:val="baseline"/>
        <w:rPr>
          <w:rFonts w:ascii="Times New Roman" w:eastAsia="Times New Roman" w:hAnsi="Times New Roman" w:cs="Times New Roman"/>
          <w:i/>
          <w:iCs/>
          <w:color w:val="000000" w:themeColor="text1"/>
        </w:rPr>
      </w:pPr>
      <w:r>
        <w:rPr>
          <w:rFonts w:ascii="Times New Roman" w:eastAsia="Times New Roman" w:hAnsi="Times New Roman" w:cs="Times New Roman"/>
          <w:i/>
          <w:iCs/>
          <w:color w:val="000000" w:themeColor="text1"/>
        </w:rPr>
        <w:t>RQ1: Which substrate, used as the outlier in a mostly-BBN team, produces heterogeneity effects most like what real teams show?</w:t>
      </w:r>
      <w:r>
        <w:rPr>
          <w:rFonts w:ascii="Times New Roman" w:eastAsia="Times New Roman" w:hAnsi="Times New Roman" w:cs="Times New Roman"/>
          <w:i/>
          <w:iCs/>
          <w:color w:val="000000" w:themeColor="text1"/>
          <w:bdr w:val="none" w:sz="0" w:space="0" w:color="auto" w:frame="1"/>
          <w:shd w:val="clear" w:color="auto" w:fill="C6C6C6"/>
        </w:rPr>
        <w:t> </w:t>
      </w:r>
    </w:p>
    <w:p w14:paraId="5D88F880" w14:textId="77777777" w:rsidR="009C4D05" w:rsidRPr="00D87B1D" w:rsidRDefault="009C4D05" w:rsidP="009C4D05">
      <w:pPr>
        <w:spacing w:after="0"/>
        <w:textAlignment w:val="baseline"/>
        <w:rPr>
          <w:rFonts w:ascii="Times New Roman" w:eastAsia="Times New Roman" w:hAnsi="Times New Roman" w:cs="Times New Roman"/>
          <w:i/>
          <w:iCs/>
          <w:color w:val="000000" w:themeColor="text1"/>
        </w:rPr>
      </w:pPr>
      <w:r>
        <w:rPr>
          <w:rFonts w:ascii="Times New Roman" w:eastAsia="Times New Roman" w:hAnsi="Times New Roman" w:cs="Times New Roman"/>
          <w:i/>
          <w:iCs/>
          <w:color w:val="000000" w:themeColor="text1"/>
        </w:rPr>
        <w:t>Answer: Tree-outlier compositions produce the heterogeneity signature most like real teams — real competence disparity plus productive disagreement plus net cost.</w:t>
      </w:r>
      <w:r>
        <w:rPr>
          <w:rFonts w:ascii="Times New Roman" w:eastAsia="Times New Roman" w:hAnsi="Times New Roman" w:cs="Times New Roman"/>
          <w:i/>
          <w:iCs/>
          <w:color w:val="000000" w:themeColor="text1"/>
          <w:bdr w:val="none" w:sz="0" w:space="0" w:color="auto" w:frame="1"/>
          <w:shd w:val="clear" w:color="auto" w:fill="C6C6C6"/>
        </w:rPr>
        <w:t> </w:t>
      </w:r>
    </w:p>
    <w:p w14:paraId="6AB23671" w14:textId="77777777" w:rsidR="009C4D05" w:rsidRDefault="009C4D05" w:rsidP="6FF5288D">
      <w:pPr>
        <w:spacing w:after="0"/>
        <w:textAlignment w:val="baseline"/>
        <w:rPr>
          <w:rFonts w:ascii="Times New Roman" w:eastAsia="Times New Roman" w:hAnsi="Times New Roman" w:cs="Times New Roman"/>
          <w:color w:val="000000" w:themeColor="text1"/>
        </w:rPr>
      </w:pPr>
    </w:p>
    <w:p w14:paraId="51DF8C21" w14:textId="28804BEF" w:rsidR="009C4D05" w:rsidRDefault="009C4D05" w:rsidP="6FF5288D">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t>The diversity, teaming, and human–AI literatures document four recurring features of real heterogeneous teams: they surface more disagreement than homogeneous teams, they can help or hurt task outcomes depending on how disagreement is handled, the dominant reasoning style still shapes output, and awareness of teammate differences matters. Table 7 scores each axis against these features.</w:t>
      </w:r>
    </w:p>
    <w:p w14:paraId="080FAA3B" w14:textId="77777777" w:rsidR="00D87B1D" w:rsidRPr="009C4D05" w:rsidRDefault="00D87B1D" w:rsidP="009C4D05">
      <w:pPr>
        <w:spacing w:after="0"/>
        <w:textAlignment w:val="baseline"/>
        <w:rPr>
          <w:rFonts w:ascii="Times New Roman" w:eastAsia="Times New Roman" w:hAnsi="Times New Roman" w:cs="Times New Roman"/>
          <w:color w:val="000000" w:themeColor="text1"/>
        </w:rPr>
      </w:pPr>
    </w:p>
    <w:p w14:paraId="5C023D8C" w14:textId="021CF5C9" w:rsidR="009C4D05" w:rsidRPr="00D87B1D" w:rsidRDefault="009C4D05" w:rsidP="009C4D05">
      <w:pPr>
        <w:spacing w:after="0"/>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Table 7. Heterogeneity signatures across substrate axes.</w:t>
      </w:r>
      <w:r>
        <w:rPr>
          <w:rFonts w:ascii="Times New Roman" w:eastAsia="Times New Roman" w:hAnsi="Times New Roman" w:cs="Times New Roman"/>
          <w:b/>
          <w:bCs/>
          <w:color w:val="000000" w:themeColor="text1"/>
          <w:bdr w:val="none" w:sz="0" w:space="0" w:color="auto" w:frame="1"/>
          <w:shd w:val="clear" w:color="auto" w:fill="C6C6C6"/>
        </w:rPr>
        <w:t> </w:t>
      </w:r>
    </w:p>
    <w:tbl>
      <w:tblPr>
        <w:tblStyle w:val="TableGrid"/>
        <w:tblW w:w="9394" w:type="dxa"/>
        <w:tblLook w:val="04A0" w:firstRow="1" w:lastRow="0" w:firstColumn="1" w:lastColumn="0" w:noHBand="0" w:noVBand="1"/>
      </w:tblPr>
      <w:tblGrid>
        <w:gridCol w:w="3045"/>
        <w:gridCol w:w="3019"/>
        <w:gridCol w:w="3330"/>
      </w:tblGrid>
      <w:tr w:rsidR="009C4D05" w:rsidRPr="009C4D05" w14:paraId="45FA6147" w14:textId="77777777" w:rsidTr="00975A01">
        <w:trPr>
          <w:trHeight w:val="300"/>
          <w:tblHeader/>
        </w:trPr>
        <w:tc>
          <w:tcPr>
            <w:tcW w:w="3045" w:type="dxa"/>
            <w:hideMark/>
          </w:tcPr>
          <w:p w14:paraId="5D0012D4" w14:textId="77777777" w:rsidR="009C4D05" w:rsidRPr="00D87B1D" w:rsidRDefault="009C4D05" w:rsidP="009C4D05">
            <w:pPr>
              <w:textAlignment w:val="baseline"/>
            </w:pPr>
            <w:r>
              <w:rPr>
                <w:rFonts w:ascii="Times New Roman" w:eastAsia="Times New Roman" w:hAnsi="Times New Roman" w:cs="Times New Roman"/>
                <w:b/>
                <w:bCs/>
                <w:color w:val="000000" w:themeColor="text1"/>
              </w:rPr>
              <w:t xml:space="preserve">Architectural Feature </w:t>
            </w:r>
          </w:p>
        </w:tc>
        <w:tc>
          <w:tcPr>
            <w:tcW w:w="3019" w:type="dxa"/>
            <w:hideMark/>
          </w:tcPr>
          <w:p w14:paraId="66DF293A" w14:textId="77777777" w:rsidR="009C4D05" w:rsidRPr="00D87B1D" w:rsidRDefault="009C4D05" w:rsidP="6FF5288D">
            <w:pPr>
              <w:textAlignment w:val="baseline"/>
              <w:rPr>
                <w:rFonts w:ascii="Times New Roman" w:eastAsia="Times New Roman" w:hAnsi="Times New Roman" w:cs="Times New Roman"/>
                <w:b/>
                <w:bCs/>
              </w:rPr>
            </w:pPr>
            <w:r>
              <w:rPr>
                <w:rFonts w:ascii="Times New Roman" w:eastAsia="Times New Roman" w:hAnsi="Times New Roman" w:cs="Times New Roman"/>
                <w:b/>
                <w:bCs/>
              </w:rPr>
              <w:t xml:space="preserve">Tree Axis Findings </w:t>
            </w:r>
          </w:p>
        </w:tc>
        <w:tc>
          <w:tcPr>
            <w:tcW w:w="3330" w:type="dxa"/>
            <w:hideMark/>
          </w:tcPr>
          <w:p w14:paraId="1A3D8A96" w14:textId="77777777" w:rsidR="009C4D05" w:rsidRPr="00D87B1D" w:rsidRDefault="009C4D05" w:rsidP="6FF5288D">
            <w:pPr>
              <w:textAlignment w:val="baseline"/>
              <w:rPr>
                <w:rFonts w:ascii="Times New Roman" w:eastAsia="Times New Roman" w:hAnsi="Times New Roman" w:cs="Times New Roman"/>
                <w:b/>
                <w:bCs/>
              </w:rPr>
            </w:pPr>
            <w:r>
              <w:rPr>
                <w:rFonts w:ascii="Times New Roman" w:eastAsia="Times New Roman" w:hAnsi="Times New Roman" w:cs="Times New Roman"/>
                <w:b/>
                <w:bCs/>
              </w:rPr>
              <w:t>Markov Axis Findings</w:t>
            </w:r>
          </w:p>
        </w:tc>
      </w:tr>
      <w:tr w:rsidR="009C4D05" w:rsidRPr="009C4D05" w14:paraId="2DFEB668" w14:textId="77777777" w:rsidTr="00975A01">
        <w:trPr>
          <w:trHeight w:val="300"/>
          <w:tblHeader/>
        </w:trPr>
        <w:tc>
          <w:tcPr>
            <w:tcW w:w="3045" w:type="dxa"/>
            <w:hideMark/>
          </w:tcPr>
          <w:p w14:paraId="3172B0E4" w14:textId="77777777" w:rsidR="009C4D05" w:rsidRPr="00D87B1D" w:rsidRDefault="009C4D05" w:rsidP="009C4D05">
            <w:pPr>
              <w:textAlignment w:val="baseline"/>
            </w:pPr>
            <w:r>
              <w:rPr>
                <w:rFonts w:ascii="Times New Roman" w:eastAsia="Times New Roman" w:hAnsi="Times New Roman" w:cs="Times New Roman"/>
                <w:b/>
                <w:bCs/>
                <w:color w:val="000000" w:themeColor="text1"/>
              </w:rPr>
              <w:t>Does mismatch surface more disagreement?</w:t>
            </w:r>
          </w:p>
        </w:tc>
        <w:tc>
          <w:tcPr>
            <w:tcW w:w="3019" w:type="dxa"/>
            <w:hideMark/>
          </w:tcPr>
          <w:p w14:paraId="17F8FB57"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Yes </w:t>
            </w:r>
            <w:r>
              <w:rPr>
                <w:rFonts w:ascii="Times New Roman" w:eastAsia="Times New Roman" w:hAnsi="Times New Roman" w:cs="Times New Roman"/>
                <w:color w:val="000000" w:themeColor="text1"/>
              </w:rPr>
              <w:t>(+14.8 initial conflicts, cross-cell mean) </w:t>
            </w:r>
          </w:p>
        </w:tc>
        <w:tc>
          <w:tcPr>
            <w:tcW w:w="3330" w:type="dxa"/>
            <w:hideMark/>
          </w:tcPr>
          <w:p w14:paraId="45CEEA48"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Yes </w:t>
            </w:r>
            <w:r>
              <w:rPr>
                <w:rFonts w:ascii="Times New Roman" w:eastAsia="Times New Roman" w:hAnsi="Times New Roman" w:cs="Times New Roman"/>
                <w:color w:val="000000" w:themeColor="text1"/>
              </w:rPr>
              <w:t>(+13.5) </w:t>
            </w:r>
          </w:p>
        </w:tc>
      </w:tr>
      <w:tr w:rsidR="009C4D05" w:rsidRPr="009C4D05" w14:paraId="74FBAAB0" w14:textId="77777777" w:rsidTr="00975A01">
        <w:trPr>
          <w:trHeight w:val="300"/>
          <w:tblHeader/>
        </w:trPr>
        <w:tc>
          <w:tcPr>
            <w:tcW w:w="3045" w:type="dxa"/>
            <w:hideMark/>
          </w:tcPr>
          <w:p w14:paraId="1FA87CFD" w14:textId="77777777" w:rsidR="009C4D05" w:rsidRPr="00D87B1D" w:rsidRDefault="009C4D05" w:rsidP="009C4D05">
            <w:pPr>
              <w:textAlignment w:val="baseline"/>
            </w:pPr>
            <w:r>
              <w:rPr>
                <w:rFonts w:ascii="Times New Roman" w:eastAsia="Times New Roman" w:hAnsi="Times New Roman" w:cs="Times New Roman"/>
                <w:b/>
                <w:bCs/>
                <w:color w:val="000000" w:themeColor="text1"/>
              </w:rPr>
              <w:t>Is there a real cost to substrate mismatch?</w:t>
            </w:r>
          </w:p>
        </w:tc>
        <w:tc>
          <w:tcPr>
            <w:tcW w:w="3019" w:type="dxa"/>
            <w:hideMark/>
          </w:tcPr>
          <w:p w14:paraId="1DCFBB25"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Yes </w:t>
            </w:r>
            <w:r>
              <w:rPr>
                <w:rFonts w:ascii="Times New Roman" w:eastAsia="Times New Roman" w:hAnsi="Times New Roman" w:cs="Times New Roman"/>
                <w:color w:val="000000" w:themeColor="text1"/>
              </w:rPr>
              <w:t>(sub_gap+0.052, d=1.38, p&lt;0.0001)</w:t>
            </w:r>
          </w:p>
        </w:tc>
        <w:tc>
          <w:tcPr>
            <w:tcW w:w="3330" w:type="dxa"/>
            <w:hideMark/>
          </w:tcPr>
          <w:p w14:paraId="454B4DFD"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No </w:t>
            </w:r>
            <w:r>
              <w:rPr>
                <w:rFonts w:ascii="Times New Roman" w:eastAsia="Times New Roman" w:hAnsi="Times New Roman" w:cs="Times New Roman"/>
                <w:color w:val="000000" w:themeColor="text1"/>
              </w:rPr>
              <w:t>(sub_gap−0.003)</w:t>
            </w:r>
          </w:p>
        </w:tc>
      </w:tr>
      <w:tr w:rsidR="009C4D05" w:rsidRPr="009C4D05" w14:paraId="13A93149" w14:textId="77777777" w:rsidTr="00975A01">
        <w:trPr>
          <w:trHeight w:val="300"/>
          <w:tblHeader/>
        </w:trPr>
        <w:tc>
          <w:tcPr>
            <w:tcW w:w="3045" w:type="dxa"/>
            <w:hideMark/>
          </w:tcPr>
          <w:p w14:paraId="75D02296" w14:textId="77777777" w:rsidR="009C4D05" w:rsidRPr="00D87B1D" w:rsidRDefault="009C4D05" w:rsidP="009C4D05">
            <w:pPr>
              <w:textAlignment w:val="baseline"/>
            </w:pPr>
            <w:r>
              <w:rPr>
                <w:rFonts w:ascii="Times New Roman" w:eastAsia="Times New Roman" w:hAnsi="Times New Roman" w:cs="Times New Roman"/>
                <w:b/>
                <w:bCs/>
                <w:color w:val="000000" w:themeColor="text1"/>
              </w:rPr>
              <w:t>Does the dominant reasoner retain influence?</w:t>
            </w:r>
          </w:p>
        </w:tc>
        <w:tc>
          <w:tcPr>
            <w:tcW w:w="3019" w:type="dxa"/>
            <w:hideMark/>
          </w:tcPr>
          <w:p w14:paraId="4CCBD00C"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Yes </w:t>
            </w:r>
            <w:r>
              <w:rPr>
                <w:rFonts w:ascii="Times New Roman" w:eastAsia="Times New Roman" w:hAnsi="Times New Roman" w:cs="Times New Roman"/>
                <w:color w:val="000000" w:themeColor="text1"/>
              </w:rPr>
              <w:t>(matched &gt; mismatched consistently) </w:t>
            </w:r>
          </w:p>
        </w:tc>
        <w:tc>
          <w:tcPr>
            <w:tcW w:w="3330" w:type="dxa"/>
            <w:hideMark/>
          </w:tcPr>
          <w:p w14:paraId="41F94A6E"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Weakly </w:t>
            </w:r>
            <w:r>
              <w:rPr>
                <w:rFonts w:ascii="Times New Roman" w:eastAsia="Times New Roman" w:hAnsi="Times New Roman" w:cs="Times New Roman"/>
                <w:color w:val="000000" w:themeColor="text1"/>
              </w:rPr>
              <w:t>(mismatched ≈ matched) </w:t>
            </w:r>
          </w:p>
        </w:tc>
      </w:tr>
      <w:tr w:rsidR="009C4D05" w:rsidRPr="009C4D05" w14:paraId="1A6526F6" w14:textId="77777777" w:rsidTr="00975A01">
        <w:trPr>
          <w:trHeight w:val="300"/>
          <w:tblHeader/>
        </w:trPr>
        <w:tc>
          <w:tcPr>
            <w:tcW w:w="3045" w:type="dxa"/>
            <w:hideMark/>
          </w:tcPr>
          <w:p w14:paraId="5CD47065" w14:textId="77777777" w:rsidR="009C4D05" w:rsidRPr="00D87B1D" w:rsidRDefault="009C4D05" w:rsidP="6FF5288D">
            <w:pPr>
              <w:textAlignment w:val="baseline"/>
              <w:rPr>
                <w:rFonts w:ascii="Times New Roman" w:eastAsia="Times New Roman" w:hAnsi="Times New Roman" w:cs="Times New Roman"/>
                <w:b/>
                <w:bCs/>
              </w:rPr>
            </w:pPr>
            <w:r>
              <w:rPr>
                <w:rFonts w:ascii="Times New Roman" w:eastAsia="Times New Roman" w:hAnsi="Times New Roman" w:cs="Times New Roman"/>
                <w:b/>
                <w:bCs/>
              </w:rPr>
              <w:t>What is the scale of the awareness–naivety gap?</w:t>
            </w:r>
          </w:p>
        </w:tc>
        <w:tc>
          <w:tcPr>
            <w:tcW w:w="3019" w:type="dxa"/>
            <w:hideMark/>
          </w:tcPr>
          <w:p w14:paraId="5CE8B957"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Small </w:t>
            </w:r>
            <w:r>
              <w:rPr>
                <w:rFonts w:ascii="Times New Roman" w:eastAsia="Times New Roman" w:hAnsi="Times New Roman" w:cs="Times New Roman"/>
                <w:color w:val="000000" w:themeColor="text1"/>
              </w:rPr>
              <w:t>(+0.001 to −0.020) </w:t>
            </w:r>
          </w:p>
        </w:tc>
        <w:tc>
          <w:tcPr>
            <w:tcW w:w="3330" w:type="dxa"/>
            <w:hideMark/>
          </w:tcPr>
          <w:p w14:paraId="671B38F6"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Small </w:t>
            </w:r>
            <w:r>
              <w:rPr>
                <w:rFonts w:ascii="Times New Roman" w:eastAsia="Times New Roman" w:hAnsi="Times New Roman" w:cs="Times New Roman"/>
                <w:color w:val="000000" w:themeColor="text1"/>
              </w:rPr>
              <w:t>(+0.004 to +0.023) </w:t>
            </w:r>
          </w:p>
        </w:tc>
      </w:tr>
    </w:tbl>
    <w:p w14:paraId="35946CEE" w14:textId="77777777" w:rsidR="00D87B1D" w:rsidRDefault="00D87B1D" w:rsidP="009C4D05">
      <w:pPr>
        <w:spacing w:after="0"/>
        <w:textAlignment w:val="baseline"/>
        <w:rPr>
          <w:rFonts w:ascii="Times New Roman" w:eastAsia="Times New Roman" w:hAnsi="Times New Roman" w:cs="Times New Roman"/>
          <w:color w:val="000000" w:themeColor="text1"/>
        </w:rPr>
      </w:pPr>
    </w:p>
    <w:p w14:paraId="1A23BDD4" w14:textId="218137B4"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t xml:space="preserve">Tree-axis compositions win on the two middle criteria — those that separate genuine competence disparity from stylistic differences among equally capable teammates. Markov’s inferential distance from BBN is small enough that a Markov outlier is roughly as accurate as its BBN teammates. This configuration is a better model of style diversity in equally skilled experts than of the mixed-competence teams the human–AI teaming literature centers on. </w:t>
      </w:r>
    </w:p>
    <w:p w14:paraId="68363FE9" w14:textId="77777777" w:rsidR="317EF2C3" w:rsidRDefault="317EF2C3" w:rsidP="6FF5288D">
      <w:pPr>
        <w:spacing w:after="0"/>
      </w:pPr>
      <w:r>
        <w:rPr>
          <w:rFonts w:ascii="Times New Roman" w:eastAsia="Times New Roman" w:hAnsi="Times New Roman" w:cs="Times New Roman"/>
        </w:rPr>
        <w:t>The tree axis provides the closest analog for researchers modeling human–AI teams in which one team member reasons less accurately than the rest, the modal case in current literature.</w:t>
      </w:r>
    </w:p>
    <w:p w14:paraId="043EBBF1" w14:textId="77777777" w:rsidR="00D87B1D" w:rsidRPr="009C4D05" w:rsidRDefault="00D87B1D" w:rsidP="009C4D05">
      <w:pPr>
        <w:spacing w:after="0"/>
        <w:textAlignment w:val="baseline"/>
        <w:rPr>
          <w:rFonts w:ascii="Times New Roman" w:eastAsia="Times New Roman" w:hAnsi="Times New Roman" w:cs="Times New Roman"/>
          <w:color w:val="000000" w:themeColor="text1"/>
        </w:rPr>
      </w:pPr>
    </w:p>
    <w:p w14:paraId="75BCCE69" w14:textId="77777777" w:rsidR="009C4D05" w:rsidRPr="00D87B1D" w:rsidRDefault="009C4D05" w:rsidP="009C4D05">
      <w:pPr>
        <w:spacing w:after="0"/>
        <w:textAlignment w:val="baseline"/>
        <w:rPr>
          <w:rFonts w:ascii="Times New Roman" w:eastAsia="Times New Roman" w:hAnsi="Times New Roman" w:cs="Times New Roman"/>
          <w:i/>
          <w:iCs/>
          <w:color w:val="000000" w:themeColor="text1"/>
        </w:rPr>
      </w:pPr>
      <w:r>
        <w:rPr>
          <w:rFonts w:ascii="Times New Roman" w:eastAsia="Times New Roman" w:hAnsi="Times New Roman" w:cs="Times New Roman"/>
          <w:i/>
          <w:iCs/>
          <w:color w:val="000000" w:themeColor="text1"/>
        </w:rPr>
        <w:t>RQ2: Is the substrate type a significant effect?</w:t>
      </w:r>
      <w:r>
        <w:rPr>
          <w:rFonts w:ascii="Times New Roman" w:eastAsia="Times New Roman" w:hAnsi="Times New Roman" w:cs="Times New Roman"/>
          <w:i/>
          <w:iCs/>
          <w:color w:val="000000" w:themeColor="text1"/>
          <w:bdr w:val="none" w:sz="0" w:space="0" w:color="auto" w:frame="1"/>
          <w:shd w:val="clear" w:color="auto" w:fill="C6C6C6"/>
        </w:rPr>
        <w:t> </w:t>
      </w:r>
    </w:p>
    <w:p w14:paraId="67478562" w14:textId="5F132AFB" w:rsidR="00D87B1D" w:rsidRPr="00D87B1D" w:rsidRDefault="009C4D05" w:rsidP="009C4D05">
      <w:pPr>
        <w:spacing w:after="0"/>
        <w:textAlignment w:val="baseline"/>
      </w:pPr>
      <w:r>
        <w:rPr>
          <w:rFonts w:ascii="Times New Roman" w:eastAsia="Times New Roman" w:hAnsi="Times New Roman" w:cs="Times New Roman"/>
          <w:i/>
          <w:iCs/>
          <w:color w:val="000000" w:themeColor="text1"/>
        </w:rPr>
        <w:t xml:space="preserve">Answer: Yes — substrate type is a significant effect, and the specific </w:t>
      </w:r>
      <w:r w:rsidR="009875D3">
        <w:rPr>
          <w:rFonts w:ascii="Times New Roman" w:eastAsia="Times New Roman" w:hAnsi="Times New Roman" w:cs="Times New Roman"/>
          <w:i/>
          <w:iCs/>
          <w:color w:val="000000" w:themeColor="text1"/>
        </w:rPr>
        <w:t xml:space="preserve">substrate </w:t>
      </w:r>
      <w:r>
        <w:rPr>
          <w:rFonts w:ascii="Times New Roman" w:eastAsia="Times New Roman" w:hAnsi="Times New Roman" w:cs="Times New Roman"/>
          <w:i/>
          <w:iCs/>
          <w:color w:val="000000" w:themeColor="text1"/>
        </w:rPr>
        <w:t>type matters more than which network you are on.</w:t>
      </w:r>
      <w:r>
        <w:rPr>
          <w:rFonts w:ascii="Times New Roman" w:eastAsia="Times New Roman" w:hAnsi="Times New Roman" w:cs="Times New Roman"/>
          <w:i/>
          <w:iCs/>
          <w:color w:val="000000" w:themeColor="text1"/>
          <w:bdr w:val="none" w:sz="0" w:space="0" w:color="auto" w:frame="1"/>
          <w:shd w:val="clear" w:color="auto" w:fill="C6C6C6"/>
        </w:rPr>
        <w:t> </w:t>
      </w:r>
    </w:p>
    <w:p w14:paraId="3DD4E887" w14:textId="77777777" w:rsidR="6FF5288D" w:rsidRDefault="6FF5288D" w:rsidP="6FF5288D">
      <w:pPr>
        <w:spacing w:after="0"/>
        <w:rPr>
          <w:rFonts w:ascii="Times New Roman" w:eastAsia="Times New Roman" w:hAnsi="Times New Roman" w:cs="Times New Roman"/>
          <w:i/>
          <w:iCs/>
          <w:color w:val="000000" w:themeColor="text1"/>
        </w:rPr>
      </w:pPr>
    </w:p>
    <w:p w14:paraId="2BE95A69" w14:textId="4F1C68F6"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t xml:space="preserve">Three pooled tests establish this. First, substrate composition matters at all: pooling across 46 (scenario × cell) points, matched-aware and mismatched-aware team accuracies differ at paired t(45) = +3.69, p = 0.0006, Cohen’s d = +0.54 (medium effect). Second, substrate axis (tree vs. Markov as outlier) matters substantially more: pooled per-scenario, tree-axis cells have </w:t>
      </w:r>
      <w:proofErr w:type="spellStart"/>
      <w:r>
        <w:rPr>
          <w:rFonts w:ascii="Times New Roman" w:eastAsia="Times New Roman" w:hAnsi="Times New Roman" w:cs="Times New Roman"/>
          <w:color w:val="000000" w:themeColor="text1"/>
        </w:rPr>
        <w:t>meansub_gap</w:t>
      </w:r>
      <w:proofErr w:type="spellEnd"/>
      <w:r>
        <w:rPr>
          <w:rFonts w:ascii="Times New Roman" w:eastAsia="Times New Roman" w:hAnsi="Times New Roman" w:cs="Times New Roman"/>
          <w:color w:val="000000" w:themeColor="text1"/>
        </w:rPr>
        <w:t xml:space="preserve"> + 0.052, and Markov-axis cells have meansub_gap−0.003, differing at t = +4.70, p &lt; 0.0001, Cohen’s d = +1.38 (a very large effect and one of the largest in the paper). Third, network does not matter as a main effect: one-way ANOVA across Domain17, Kanno, </w:t>
      </w:r>
      <w:r>
        <w:rPr>
          <w:rFonts w:ascii="Times New Roman" w:eastAsia="Times New Roman" w:hAnsi="Times New Roman" w:cs="Times New Roman"/>
          <w:color w:val="000000" w:themeColor="text1"/>
        </w:rPr>
        <w:lastRenderedPageBreak/>
        <w:t>and ALARM yields F (2, 43) = 0.10, p = 0.90 (meansub_gap+0.030, +0.026, +0.022, respectively — statistically indistinguishable). Per-cell effect sizes echo the same pattern.</w:t>
      </w:r>
      <w:r>
        <w:rPr>
          <w:rFonts w:ascii="Times New Roman" w:eastAsia="Times New Roman" w:hAnsi="Times New Roman" w:cs="Times New Roman"/>
          <w:color w:val="000000" w:themeColor="text1"/>
          <w:bdr w:val="none" w:sz="0" w:space="0" w:color="auto" w:frame="1"/>
          <w:shd w:val="clear" w:color="auto" w:fill="C6C6C6"/>
        </w:rPr>
        <w:t> </w:t>
      </w:r>
    </w:p>
    <w:p w14:paraId="323E400B" w14:textId="77777777" w:rsidR="00D87B1D" w:rsidRPr="009C4D05" w:rsidRDefault="00D87B1D" w:rsidP="009C4D05">
      <w:pPr>
        <w:spacing w:after="0"/>
        <w:textAlignment w:val="baseline"/>
        <w:rPr>
          <w:rFonts w:ascii="Times New Roman" w:eastAsia="Times New Roman" w:hAnsi="Times New Roman" w:cs="Times New Roman"/>
          <w:color w:val="000000" w:themeColor="text1"/>
        </w:rPr>
      </w:pPr>
    </w:p>
    <w:p w14:paraId="192BADEE" w14:textId="2D2A1BF1" w:rsidR="009C4D05" w:rsidRPr="00D87B1D" w:rsidRDefault="009C4D05" w:rsidP="009C4D05">
      <w:pPr>
        <w:spacing w:after="0"/>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Table 8. Per-cell effect sizes for the substrate gap.</w:t>
      </w:r>
      <w:r>
        <w:rPr>
          <w:rFonts w:ascii="Times New Roman" w:eastAsia="Times New Roman" w:hAnsi="Times New Roman" w:cs="Times New Roman"/>
          <w:b/>
          <w:bCs/>
          <w:color w:val="000000" w:themeColor="text1"/>
          <w:bdr w:val="none" w:sz="0" w:space="0" w:color="auto" w:frame="1"/>
          <w:shd w:val="clear" w:color="auto" w:fill="C6C6C6"/>
        </w:rPr>
        <w:t> </w:t>
      </w:r>
    </w:p>
    <w:tbl>
      <w:tblPr>
        <w:tblStyle w:val="TableGrid"/>
        <w:tblW w:w="0" w:type="dxa"/>
        <w:tblLook w:val="04A0" w:firstRow="1" w:lastRow="0" w:firstColumn="1" w:lastColumn="0" w:noHBand="0" w:noVBand="1"/>
      </w:tblPr>
      <w:tblGrid>
        <w:gridCol w:w="2640"/>
        <w:gridCol w:w="2640"/>
        <w:gridCol w:w="2640"/>
      </w:tblGrid>
      <w:tr w:rsidR="009C4D05" w:rsidRPr="009C4D05" w14:paraId="0CD1F539" w14:textId="77777777" w:rsidTr="00D87B1D">
        <w:trPr>
          <w:trHeight w:val="300"/>
        </w:trPr>
        <w:tc>
          <w:tcPr>
            <w:tcW w:w="2640" w:type="dxa"/>
            <w:hideMark/>
          </w:tcPr>
          <w:p w14:paraId="3BBC4553" w14:textId="77777777" w:rsidR="009C4D05" w:rsidRPr="00D87B1D"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Cell </w:t>
            </w:r>
          </w:p>
        </w:tc>
        <w:tc>
          <w:tcPr>
            <w:tcW w:w="2640" w:type="dxa"/>
            <w:hideMark/>
          </w:tcPr>
          <w:p w14:paraId="40BC4E07" w14:textId="77777777" w:rsidR="009C4D05" w:rsidRPr="00D87B1D"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Cohen’s d </w:t>
            </w:r>
          </w:p>
        </w:tc>
        <w:tc>
          <w:tcPr>
            <w:tcW w:w="2640" w:type="dxa"/>
            <w:hideMark/>
          </w:tcPr>
          <w:p w14:paraId="130A4A52" w14:textId="77777777" w:rsidR="009C4D05" w:rsidRPr="00D87B1D"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Interpretation </w:t>
            </w:r>
          </w:p>
        </w:tc>
      </w:tr>
      <w:tr w:rsidR="009C4D05" w:rsidRPr="009C4D05" w14:paraId="091C3026" w14:textId="77777777" w:rsidTr="00D87B1D">
        <w:trPr>
          <w:trHeight w:val="300"/>
        </w:trPr>
        <w:tc>
          <w:tcPr>
            <w:tcW w:w="2640" w:type="dxa"/>
            <w:hideMark/>
          </w:tcPr>
          <w:p w14:paraId="6DB93F7B" w14:textId="3C869310" w:rsidR="009C4D05" w:rsidRPr="00D87B1D"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Domain17 Tree </w:t>
            </w:r>
          </w:p>
        </w:tc>
        <w:tc>
          <w:tcPr>
            <w:tcW w:w="2640" w:type="dxa"/>
            <w:hideMark/>
          </w:tcPr>
          <w:p w14:paraId="76C53F3A"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+2.56 </w:t>
            </w:r>
          </w:p>
        </w:tc>
        <w:tc>
          <w:tcPr>
            <w:tcW w:w="2640" w:type="dxa"/>
            <w:hideMark/>
          </w:tcPr>
          <w:p w14:paraId="0817837E"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very large </w:t>
            </w:r>
          </w:p>
        </w:tc>
      </w:tr>
      <w:tr w:rsidR="009C4D05" w:rsidRPr="009C4D05" w14:paraId="66CDEE22" w14:textId="77777777" w:rsidTr="00D87B1D">
        <w:trPr>
          <w:trHeight w:val="300"/>
        </w:trPr>
        <w:tc>
          <w:tcPr>
            <w:tcW w:w="2640" w:type="dxa"/>
            <w:hideMark/>
          </w:tcPr>
          <w:p w14:paraId="196FDE33" w14:textId="3DC1C2CB" w:rsidR="009C4D05" w:rsidRPr="00D87B1D"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Kanno Tree </w:t>
            </w:r>
          </w:p>
        </w:tc>
        <w:tc>
          <w:tcPr>
            <w:tcW w:w="2640" w:type="dxa"/>
            <w:hideMark/>
          </w:tcPr>
          <w:p w14:paraId="73AC0D6F"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+1.96 </w:t>
            </w:r>
          </w:p>
        </w:tc>
        <w:tc>
          <w:tcPr>
            <w:tcW w:w="2640" w:type="dxa"/>
            <w:hideMark/>
          </w:tcPr>
          <w:p w14:paraId="2A8C6365"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very large </w:t>
            </w:r>
          </w:p>
        </w:tc>
      </w:tr>
      <w:tr w:rsidR="009C4D05" w:rsidRPr="009C4D05" w14:paraId="0337462A" w14:textId="77777777" w:rsidTr="00D87B1D">
        <w:trPr>
          <w:trHeight w:val="300"/>
        </w:trPr>
        <w:tc>
          <w:tcPr>
            <w:tcW w:w="2640" w:type="dxa"/>
            <w:hideMark/>
          </w:tcPr>
          <w:p w14:paraId="05358365" w14:textId="2B470841" w:rsidR="009C4D05" w:rsidRPr="00D87B1D"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ALARM Tree </w:t>
            </w:r>
          </w:p>
        </w:tc>
        <w:tc>
          <w:tcPr>
            <w:tcW w:w="2640" w:type="dxa"/>
            <w:hideMark/>
          </w:tcPr>
          <w:p w14:paraId="70FE6286"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+0.76 </w:t>
            </w:r>
          </w:p>
        </w:tc>
        <w:tc>
          <w:tcPr>
            <w:tcW w:w="2640" w:type="dxa"/>
            <w:hideMark/>
          </w:tcPr>
          <w:p w14:paraId="6A16AEA8"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medium </w:t>
            </w:r>
          </w:p>
        </w:tc>
      </w:tr>
      <w:tr w:rsidR="009C4D05" w:rsidRPr="009C4D05" w14:paraId="26A583D0" w14:textId="77777777" w:rsidTr="00D87B1D">
        <w:trPr>
          <w:trHeight w:val="300"/>
        </w:trPr>
        <w:tc>
          <w:tcPr>
            <w:tcW w:w="2640" w:type="dxa"/>
            <w:hideMark/>
          </w:tcPr>
          <w:p w14:paraId="7A8B78A5" w14:textId="583B268E" w:rsidR="009C4D05" w:rsidRPr="00D87B1D"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Domain17 Markov</w:t>
            </w:r>
          </w:p>
        </w:tc>
        <w:tc>
          <w:tcPr>
            <w:tcW w:w="2640" w:type="dxa"/>
            <w:hideMark/>
          </w:tcPr>
          <w:p w14:paraId="53A04568"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−0.34 </w:t>
            </w:r>
          </w:p>
        </w:tc>
        <w:tc>
          <w:tcPr>
            <w:tcW w:w="2640" w:type="dxa"/>
            <w:hideMark/>
          </w:tcPr>
          <w:p w14:paraId="4693941A"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small </w:t>
            </w:r>
          </w:p>
        </w:tc>
      </w:tr>
      <w:tr w:rsidR="009C4D05" w:rsidRPr="009C4D05" w14:paraId="594CBFE1" w14:textId="77777777" w:rsidTr="00D87B1D">
        <w:trPr>
          <w:trHeight w:val="300"/>
        </w:trPr>
        <w:tc>
          <w:tcPr>
            <w:tcW w:w="2640" w:type="dxa"/>
            <w:hideMark/>
          </w:tcPr>
          <w:p w14:paraId="36BE7849" w14:textId="22A023A1" w:rsidR="009C4D05" w:rsidRPr="00D87B1D"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Kanno Markov</w:t>
            </w:r>
          </w:p>
        </w:tc>
        <w:tc>
          <w:tcPr>
            <w:tcW w:w="2640" w:type="dxa"/>
            <w:hideMark/>
          </w:tcPr>
          <w:p w14:paraId="44196B6D"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−0.10 </w:t>
            </w:r>
          </w:p>
        </w:tc>
        <w:tc>
          <w:tcPr>
            <w:tcW w:w="2640" w:type="dxa"/>
            <w:hideMark/>
          </w:tcPr>
          <w:p w14:paraId="1E3B0573"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trivial </w:t>
            </w:r>
          </w:p>
        </w:tc>
      </w:tr>
      <w:tr w:rsidR="009C4D05" w:rsidRPr="009C4D05" w14:paraId="08D335EC" w14:textId="77777777" w:rsidTr="00D87B1D">
        <w:trPr>
          <w:trHeight w:val="300"/>
        </w:trPr>
        <w:tc>
          <w:tcPr>
            <w:tcW w:w="2640" w:type="dxa"/>
            <w:hideMark/>
          </w:tcPr>
          <w:p w14:paraId="7069EFEE" w14:textId="7A8FFCAF" w:rsidR="009C4D05" w:rsidRPr="00D87B1D" w:rsidRDefault="009C4D05" w:rsidP="009C4D05">
            <w:pPr>
              <w:textAlignment w:val="baseline"/>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ALAR Markov</w:t>
            </w:r>
          </w:p>
        </w:tc>
        <w:tc>
          <w:tcPr>
            <w:tcW w:w="2640" w:type="dxa"/>
            <w:hideMark/>
          </w:tcPr>
          <w:p w14:paraId="2B266B75"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+0.18 </w:t>
            </w:r>
          </w:p>
        </w:tc>
        <w:tc>
          <w:tcPr>
            <w:tcW w:w="2640" w:type="dxa"/>
            <w:hideMark/>
          </w:tcPr>
          <w:p w14:paraId="7BF533DA" w14:textId="77777777" w:rsidR="009C4D05" w:rsidRPr="009C4D05" w:rsidRDefault="009C4D05" w:rsidP="009C4D05">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trivial </w:t>
            </w:r>
          </w:p>
        </w:tc>
      </w:tr>
    </w:tbl>
    <w:p w14:paraId="29C85ECD" w14:textId="77777777" w:rsidR="00D87B1D" w:rsidRDefault="00D87B1D" w:rsidP="009C4D05">
      <w:pPr>
        <w:spacing w:after="0"/>
        <w:textAlignment w:val="baseline"/>
        <w:rPr>
          <w:rFonts w:ascii="Times New Roman" w:eastAsia="Times New Roman" w:hAnsi="Times New Roman" w:cs="Times New Roman"/>
          <w:color w:val="000000" w:themeColor="text1"/>
        </w:rPr>
      </w:pPr>
    </w:p>
    <w:p w14:paraId="06E99D91"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The asymmetry is the two-force account’s own prediction: tree is inferentially far from BBN, so quality loss dominates, and effect sizes are large; Markov is inferentially close, so the two forces cancel and effect sizes are near zero. This asymmetry replicates across three networks that differ in topology, CPT structure, and node count, yet the networks themselves do not contribute to any of the variance. </w:t>
      </w:r>
    </w:p>
    <w:p w14:paraId="4B4E74E7" w14:textId="77777777" w:rsidR="00D87B1D" w:rsidRDefault="00D87B1D" w:rsidP="009C4D05">
      <w:pPr>
        <w:spacing w:after="0"/>
        <w:textAlignment w:val="baseline"/>
        <w:rPr>
          <w:rFonts w:ascii="Times New Roman" w:eastAsia="Times New Roman" w:hAnsi="Times New Roman" w:cs="Times New Roman"/>
          <w:b/>
          <w:bCs/>
          <w:color w:val="000000" w:themeColor="text1"/>
        </w:rPr>
      </w:pPr>
    </w:p>
    <w:p w14:paraId="1BE7A8B9" w14:textId="77777777" w:rsidR="009C4D05" w:rsidRDefault="009C4D05" w:rsidP="009C4D05">
      <w:pPr>
        <w:spacing w:after="0"/>
        <w:textAlignment w:val="baseline"/>
        <w:rPr>
          <w:rFonts w:ascii="Times New Roman" w:eastAsia="Times New Roman" w:hAnsi="Times New Roman" w:cs="Times New Roman"/>
          <w:b/>
          <w:bCs/>
          <w:color w:val="000000" w:themeColor="text1"/>
          <w:bdr w:val="none" w:sz="0" w:space="0" w:color="auto" w:frame="1"/>
          <w:shd w:val="clear" w:color="auto" w:fill="C6C6C6"/>
        </w:rPr>
      </w:pPr>
      <w:r>
        <w:rPr>
          <w:rFonts w:ascii="Times New Roman" w:eastAsia="Times New Roman" w:hAnsi="Times New Roman" w:cs="Times New Roman"/>
          <w:b/>
          <w:bCs/>
          <w:color w:val="000000" w:themeColor="text1"/>
        </w:rPr>
        <w:t>6.2 The two forces are both real and both necessary</w:t>
      </w:r>
      <w:r>
        <w:rPr>
          <w:rFonts w:ascii="Times New Roman" w:eastAsia="Times New Roman" w:hAnsi="Times New Roman" w:cs="Times New Roman"/>
          <w:b/>
          <w:bCs/>
          <w:color w:val="000000" w:themeColor="text1"/>
          <w:bdr w:val="none" w:sz="0" w:space="0" w:color="auto" w:frame="1"/>
          <w:shd w:val="clear" w:color="auto" w:fill="C6C6C6"/>
        </w:rPr>
        <w:t> </w:t>
      </w:r>
    </w:p>
    <w:p w14:paraId="21407CC7" w14:textId="77777777" w:rsidR="00D87B1D" w:rsidRPr="009C4D05" w:rsidRDefault="00D87B1D" w:rsidP="009C4D05">
      <w:pPr>
        <w:spacing w:after="0"/>
        <w:textAlignment w:val="baseline"/>
        <w:rPr>
          <w:rFonts w:ascii="Times New Roman" w:eastAsia="Times New Roman" w:hAnsi="Times New Roman" w:cs="Times New Roman"/>
          <w:b/>
          <w:bCs/>
          <w:color w:val="000000" w:themeColor="text1"/>
        </w:rPr>
      </w:pPr>
    </w:p>
    <w:p w14:paraId="41FFA147" w14:textId="10AB10C9"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The 2×2×2 design lets us make a claim we could not make from any single (network, axis) cell. Substrate mismatch is not one thing. It is, at a minimum, two things: a sensitivity gain that surfaces additional conflicts and is </w:t>
      </w:r>
      <w:proofErr w:type="gramStart"/>
      <w:r>
        <w:rPr>
          <w:rFonts w:ascii="Times New Roman" w:eastAsia="Times New Roman" w:hAnsi="Times New Roman" w:cs="Times New Roman"/>
          <w:color w:val="000000" w:themeColor="text1"/>
        </w:rPr>
        <w:t>bounded</w:t>
      </w:r>
      <w:proofErr w:type="gramEnd"/>
      <w:r>
        <w:rPr>
          <w:rFonts w:ascii="Times New Roman" w:eastAsia="Times New Roman" w:hAnsi="Times New Roman" w:cs="Times New Roman"/>
          <w:color w:val="000000" w:themeColor="text1"/>
        </w:rPr>
        <w:t xml:space="preserve"> by how much the mismatched substrate’s committed diagnoses diverge from </w:t>
      </w:r>
      <w:proofErr w:type="gramStart"/>
      <w:r>
        <w:rPr>
          <w:rFonts w:ascii="Times New Roman" w:eastAsia="Times New Roman" w:hAnsi="Times New Roman" w:cs="Times New Roman"/>
          <w:color w:val="000000" w:themeColor="text1"/>
        </w:rPr>
        <w:t>BBN’s</w:t>
      </w:r>
      <w:proofErr w:type="gramEnd"/>
      <w:r>
        <w:rPr>
          <w:rFonts w:ascii="Times New Roman" w:eastAsia="Times New Roman" w:hAnsi="Times New Roman" w:cs="Times New Roman"/>
          <w:color w:val="000000" w:themeColor="text1"/>
        </w:rPr>
        <w:t xml:space="preserve">, and an inference quality loss that is </w:t>
      </w:r>
      <w:proofErr w:type="gramStart"/>
      <w:r>
        <w:rPr>
          <w:rFonts w:ascii="Times New Roman" w:eastAsia="Times New Roman" w:hAnsi="Times New Roman" w:cs="Times New Roman"/>
          <w:color w:val="000000" w:themeColor="text1"/>
        </w:rPr>
        <w:t>bounded</w:t>
      </w:r>
      <w:proofErr w:type="gramEnd"/>
      <w:r>
        <w:rPr>
          <w:rFonts w:ascii="Times New Roman" w:eastAsia="Times New Roman" w:hAnsi="Times New Roman" w:cs="Times New Roman"/>
          <w:color w:val="000000" w:themeColor="text1"/>
        </w:rPr>
        <w:t xml:space="preserve"> by how much worse the mismatched substrate is at getting individual nodes right. Both forces are measurable at the level of individual scenarios in ways that generalize across networks. The signed effect of mismatch on team accuracy is the balance.</w:t>
      </w:r>
      <w:r>
        <w:rPr>
          <w:rFonts w:ascii="Times New Roman" w:eastAsia="Times New Roman" w:hAnsi="Times New Roman" w:cs="Times New Roman"/>
          <w:color w:val="000000" w:themeColor="text1"/>
          <w:bdr w:val="none" w:sz="0" w:space="0" w:color="auto" w:frame="1"/>
          <w:shd w:val="clear" w:color="auto" w:fill="C6C6C6"/>
        </w:rPr>
        <w:t> </w:t>
      </w:r>
    </w:p>
    <w:p w14:paraId="06DB0979" w14:textId="292BCED9"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t xml:space="preserve">This reframes the </w:t>
      </w:r>
      <w:proofErr w:type="spellStart"/>
      <w:r>
        <w:rPr>
          <w:rFonts w:ascii="Times New Roman" w:eastAsia="Times New Roman" w:hAnsi="Times New Roman" w:cs="Times New Roman"/>
          <w:color w:val="000000" w:themeColor="text1"/>
        </w:rPr>
        <w:t>Anthropomorphization</w:t>
      </w:r>
      <w:proofErr w:type="spellEnd"/>
      <w:r>
        <w:rPr>
          <w:rFonts w:ascii="Times New Roman" w:eastAsia="Times New Roman" w:hAnsi="Times New Roman" w:cs="Times New Roman"/>
          <w:color w:val="000000" w:themeColor="text1"/>
        </w:rPr>
        <w:t> Trap. The original trap thesis — matched &gt; mismatched-aware &gt; mismatched-naive — holds, on aggregate, only when the mismatched substrate is inferentially weaker than BBN. When the mismatched substrate is inferentially close to BBN (Markov on either network), aggregate mismatch is either neutral or mildly beneficial, and the aware/naive ordering becomes empirically noisy. The trap is not a single-mechanism claim; it is a compound one, and its aggregate direction depends on which of the two forces dominates in a given(network, axis) regime.</w:t>
      </w:r>
      <w:r>
        <w:rPr>
          <w:rFonts w:ascii="Times New Roman" w:eastAsia="Times New Roman" w:hAnsi="Times New Roman" w:cs="Times New Roman"/>
          <w:color w:val="000000" w:themeColor="text1"/>
          <w:bdr w:val="none" w:sz="0" w:space="0" w:color="auto" w:frame="1"/>
          <w:shd w:val="clear" w:color="auto" w:fill="C6C6C6"/>
        </w:rPr>
        <w:t> </w:t>
      </w:r>
    </w:p>
    <w:p w14:paraId="1C0710EB" w14:textId="77777777" w:rsidR="00D87B1D" w:rsidRPr="009C4D05" w:rsidRDefault="00D87B1D" w:rsidP="009C4D05">
      <w:pPr>
        <w:spacing w:after="0"/>
        <w:textAlignment w:val="baseline"/>
        <w:rPr>
          <w:rFonts w:ascii="Times New Roman" w:eastAsia="Times New Roman" w:hAnsi="Times New Roman" w:cs="Times New Roman"/>
          <w:color w:val="000000" w:themeColor="text1"/>
        </w:rPr>
      </w:pPr>
    </w:p>
    <w:p w14:paraId="5620D66B" w14:textId="77777777" w:rsidR="009C4D05" w:rsidRDefault="009C4D05" w:rsidP="009C4D05">
      <w:pPr>
        <w:spacing w:after="0"/>
        <w:textAlignment w:val="baseline"/>
        <w:rPr>
          <w:rFonts w:ascii="Times New Roman" w:eastAsia="Times New Roman" w:hAnsi="Times New Roman" w:cs="Times New Roman"/>
          <w:b/>
          <w:bCs/>
          <w:color w:val="000000" w:themeColor="text1"/>
          <w:bdr w:val="none" w:sz="0" w:space="0" w:color="auto" w:frame="1"/>
          <w:shd w:val="clear" w:color="auto" w:fill="C6C6C6"/>
        </w:rPr>
      </w:pPr>
      <w:r>
        <w:rPr>
          <w:rFonts w:ascii="Times New Roman" w:eastAsia="Times New Roman" w:hAnsi="Times New Roman" w:cs="Times New Roman"/>
          <w:b/>
          <w:bCs/>
          <w:color w:val="000000" w:themeColor="text1"/>
        </w:rPr>
        <w:t>6.3 What naive projection does</w:t>
      </w:r>
      <w:r>
        <w:rPr>
          <w:rFonts w:ascii="Times New Roman" w:eastAsia="Times New Roman" w:hAnsi="Times New Roman" w:cs="Times New Roman"/>
          <w:b/>
          <w:bCs/>
          <w:color w:val="000000" w:themeColor="text1"/>
          <w:bdr w:val="none" w:sz="0" w:space="0" w:color="auto" w:frame="1"/>
          <w:shd w:val="clear" w:color="auto" w:fill="C6C6C6"/>
        </w:rPr>
        <w:t> </w:t>
      </w:r>
    </w:p>
    <w:p w14:paraId="44CEB8E9" w14:textId="77777777" w:rsidR="00D87B1D" w:rsidRPr="009C4D05" w:rsidRDefault="00D87B1D" w:rsidP="009C4D05">
      <w:pPr>
        <w:spacing w:after="0"/>
        <w:textAlignment w:val="baseline"/>
        <w:rPr>
          <w:rFonts w:ascii="Times New Roman" w:eastAsia="Times New Roman" w:hAnsi="Times New Roman" w:cs="Times New Roman"/>
          <w:b/>
          <w:bCs/>
          <w:color w:val="000000" w:themeColor="text1"/>
        </w:rPr>
      </w:pPr>
    </w:p>
    <w:p w14:paraId="4998AE04"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Sections 5.4 and 5.5 give an operationally precise account of naive projection. Under matched compositions, naive projection is a null operation — indistinguishable from aware projection because everyone runs the same substrate. Under mismatched compositions, naive projection is a conflict-detection suppressor: it hides the disagreements that substrate heterogeneity produces, by structurally instantiating projected engines that agree with the detecting agent’s own inference by construction. This is neither a form of cognitive laziness nor a lack of information — it is a definite representational commitment that renders substrate heterogeneity invisible.</w:t>
      </w:r>
      <w:r>
        <w:rPr>
          <w:rFonts w:ascii="Times New Roman" w:eastAsia="Times New Roman" w:hAnsi="Times New Roman" w:cs="Times New Roman"/>
          <w:color w:val="000000" w:themeColor="text1"/>
          <w:bdr w:val="none" w:sz="0" w:space="0" w:color="auto" w:frame="1"/>
          <w:shd w:val="clear" w:color="auto" w:fill="C6C6C6"/>
        </w:rPr>
        <w:t> </w:t>
      </w:r>
    </w:p>
    <w:p w14:paraId="0158B476" w14:textId="77777777"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t xml:space="preserve">The interesting consequence is that naive projection is bounded in its harm by the size of the substrate gap. When the substrate gap is small (Kanno-Markov), naive projection has little to </w:t>
      </w:r>
      <w:r>
        <w:rPr>
          <w:rFonts w:ascii="Times New Roman" w:eastAsia="Times New Roman" w:hAnsi="Times New Roman" w:cs="Times New Roman"/>
          <w:color w:val="000000" w:themeColor="text1"/>
        </w:rPr>
        <w:lastRenderedPageBreak/>
        <w:t>suppress, so its accuracy penalty is small (aware gap +0.004). When the substrate gap is large (Domain17-tree), naive projection has much to suppress, and correspondingly more accuracy is left on the table. This inverts the intuition that naive projection should always be costly: it is costly only when there is a signal to be erased.</w:t>
      </w:r>
      <w:r>
        <w:rPr>
          <w:rFonts w:ascii="Times New Roman" w:eastAsia="Times New Roman" w:hAnsi="Times New Roman" w:cs="Times New Roman"/>
          <w:color w:val="000000" w:themeColor="text1"/>
          <w:bdr w:val="none" w:sz="0" w:space="0" w:color="auto" w:frame="1"/>
          <w:shd w:val="clear" w:color="auto" w:fill="C6C6C6"/>
        </w:rPr>
        <w:t> </w:t>
      </w:r>
    </w:p>
    <w:p w14:paraId="430FC0A6" w14:textId="77777777" w:rsidR="00D87B1D" w:rsidRPr="009C4D05" w:rsidRDefault="00D87B1D" w:rsidP="009C4D05">
      <w:pPr>
        <w:spacing w:after="0"/>
        <w:textAlignment w:val="baseline"/>
        <w:rPr>
          <w:rFonts w:ascii="Times New Roman" w:eastAsia="Times New Roman" w:hAnsi="Times New Roman" w:cs="Times New Roman"/>
          <w:color w:val="000000" w:themeColor="text1"/>
        </w:rPr>
      </w:pPr>
    </w:p>
    <w:p w14:paraId="4E5E7978" w14:textId="77777777" w:rsidR="009C4D05" w:rsidRDefault="009C4D05" w:rsidP="009C4D05">
      <w:pPr>
        <w:spacing w:after="0"/>
        <w:textAlignment w:val="baseline"/>
        <w:rPr>
          <w:rFonts w:ascii="Times New Roman" w:eastAsia="Times New Roman" w:hAnsi="Times New Roman" w:cs="Times New Roman"/>
          <w:b/>
          <w:bCs/>
          <w:color w:val="000000" w:themeColor="text1"/>
          <w:bdr w:val="none" w:sz="0" w:space="0" w:color="auto" w:frame="1"/>
          <w:shd w:val="clear" w:color="auto" w:fill="C6C6C6"/>
        </w:rPr>
      </w:pPr>
      <w:r>
        <w:rPr>
          <w:rFonts w:ascii="Times New Roman" w:eastAsia="Times New Roman" w:hAnsi="Times New Roman" w:cs="Times New Roman"/>
          <w:b/>
          <w:bCs/>
          <w:color w:val="000000" w:themeColor="text1"/>
        </w:rPr>
        <w:t>6.4 Phantom conflicts and the sensitivity ceiling</w:t>
      </w:r>
      <w:r>
        <w:rPr>
          <w:rFonts w:ascii="Times New Roman" w:eastAsia="Times New Roman" w:hAnsi="Times New Roman" w:cs="Times New Roman"/>
          <w:b/>
          <w:bCs/>
          <w:color w:val="000000" w:themeColor="text1"/>
          <w:bdr w:val="none" w:sz="0" w:space="0" w:color="auto" w:frame="1"/>
          <w:shd w:val="clear" w:color="auto" w:fill="C6C6C6"/>
        </w:rPr>
        <w:t> </w:t>
      </w:r>
    </w:p>
    <w:p w14:paraId="1966DBBE" w14:textId="77777777" w:rsidR="00D87B1D" w:rsidRPr="009C4D05" w:rsidRDefault="00D87B1D" w:rsidP="009C4D05">
      <w:pPr>
        <w:spacing w:after="0"/>
        <w:textAlignment w:val="baseline"/>
        <w:rPr>
          <w:rFonts w:ascii="Times New Roman" w:eastAsia="Times New Roman" w:hAnsi="Times New Roman" w:cs="Times New Roman"/>
          <w:b/>
          <w:bCs/>
          <w:color w:val="000000" w:themeColor="text1"/>
        </w:rPr>
      </w:pPr>
    </w:p>
    <w:p w14:paraId="1A08D820" w14:textId="42D8895F"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The phantom/real decomposition surfaces a further subtlety. Not all sensitivity is productive. The extra conflicts detected under aware projection with mismatched substrates include a substantial fraction (typically 40–50%) in which the detecting agent is already correct, and the perceived mismatch is illusory. These phantom conflicts drive the coop phase to spend actions on nodes that did not need action, potentially degrading the team’s action efficiency. </w:t>
      </w:r>
    </w:p>
    <w:p w14:paraId="6057FDC5" w14:textId="1232EFA8"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This gives a natural ceiling </w:t>
      </w:r>
      <w:r w:rsidR="008101F0">
        <w:rPr>
          <w:rFonts w:ascii="Times New Roman" w:eastAsia="Times New Roman" w:hAnsi="Times New Roman" w:cs="Times New Roman"/>
          <w:color w:val="000000" w:themeColor="text1"/>
        </w:rPr>
        <w:t>to</w:t>
      </w:r>
      <w:r>
        <w:rPr>
          <w:rFonts w:ascii="Times New Roman" w:eastAsia="Times New Roman" w:hAnsi="Times New Roman" w:cs="Times New Roman"/>
          <w:color w:val="000000" w:themeColor="text1"/>
        </w:rPr>
        <w:t xml:space="preserve"> the sensitivity gain. Even when a team can detect a great many mismatch-induced conflicts (Domain17-tree, +30.8 extras), the team is only marginally better off in coordination terms because half of that extra activity is misdirected. The tree engine’s L1 quality loss is what tips this from a wash to an accuracy loss.</w:t>
      </w:r>
    </w:p>
    <w:p w14:paraId="2AAF469C" w14:textId="63689D16" w:rsidR="009C4D05" w:rsidRDefault="009C4D05" w:rsidP="009C4D05">
      <w:pPr>
        <w:spacing w:after="0"/>
        <w:textAlignment w:val="baseline"/>
      </w:pPr>
      <w:r>
        <w:rPr>
          <w:rFonts w:ascii="Times New Roman" w:eastAsia="Times New Roman" w:hAnsi="Times New Roman" w:cs="Times New Roman"/>
          <w:color w:val="000000" w:themeColor="text1"/>
        </w:rPr>
        <w:t xml:space="preserve">The phantom effect is not merely noise; it may be the mechanism linking substrate diversity to dysfunctional coordination. </w:t>
      </w:r>
    </w:p>
    <w:p w14:paraId="2134928F" w14:textId="45462881"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t xml:space="preserve">A team of agents with different substrates tends to generate more disagreements, most of which are illusory. In a real human-AI teaming context, one could reasonably argue whether </w:t>
      </w:r>
      <w:proofErr w:type="gramStart"/>
      <w:r>
        <w:rPr>
          <w:rFonts w:ascii="Times New Roman" w:eastAsia="Times New Roman" w:hAnsi="Times New Roman" w:cs="Times New Roman"/>
          <w:color w:val="000000" w:themeColor="text1"/>
        </w:rPr>
        <w:t>a majority of</w:t>
      </w:r>
      <w:proofErr w:type="gramEnd"/>
      <w:r>
        <w:rPr>
          <w:rFonts w:ascii="Times New Roman" w:eastAsia="Times New Roman" w:hAnsi="Times New Roman" w:cs="Times New Roman"/>
          <w:color w:val="000000" w:themeColor="text1"/>
        </w:rPr>
        <w:t xml:space="preserve"> disagreements between a human expert and a model are “real” (the human is wrong and would benefit from the model’s flag) or “phantom” (the human is right, and the flag will simply produce friction).</w:t>
      </w:r>
    </w:p>
    <w:p w14:paraId="78E74127" w14:textId="77777777" w:rsidR="00D87B1D" w:rsidRPr="009C4D05" w:rsidRDefault="00D87B1D" w:rsidP="009C4D05">
      <w:pPr>
        <w:spacing w:after="0"/>
        <w:textAlignment w:val="baseline"/>
        <w:rPr>
          <w:rFonts w:ascii="Times New Roman" w:eastAsia="Times New Roman" w:hAnsi="Times New Roman" w:cs="Times New Roman"/>
          <w:color w:val="000000" w:themeColor="text1"/>
        </w:rPr>
      </w:pPr>
    </w:p>
    <w:p w14:paraId="5ABB60C4" w14:textId="77777777" w:rsidR="009C4D05" w:rsidRDefault="009C4D05" w:rsidP="009C4D05">
      <w:pPr>
        <w:spacing w:after="0"/>
        <w:textAlignment w:val="baseline"/>
        <w:rPr>
          <w:rFonts w:ascii="Times New Roman" w:eastAsia="Times New Roman" w:hAnsi="Times New Roman" w:cs="Times New Roman"/>
          <w:b/>
          <w:bCs/>
          <w:color w:val="000000" w:themeColor="text1"/>
          <w:bdr w:val="none" w:sz="0" w:space="0" w:color="auto" w:frame="1"/>
          <w:shd w:val="clear" w:color="auto" w:fill="C6C6C6"/>
        </w:rPr>
      </w:pPr>
      <w:r>
        <w:rPr>
          <w:rFonts w:ascii="Times New Roman" w:eastAsia="Times New Roman" w:hAnsi="Times New Roman" w:cs="Times New Roman"/>
          <w:b/>
          <w:bCs/>
          <w:color w:val="000000" w:themeColor="text1"/>
        </w:rPr>
        <w:t>6.5 Markov inversion</w:t>
      </w:r>
      <w:r>
        <w:rPr>
          <w:rFonts w:ascii="Times New Roman" w:eastAsia="Times New Roman" w:hAnsi="Times New Roman" w:cs="Times New Roman"/>
          <w:b/>
          <w:bCs/>
          <w:color w:val="000000" w:themeColor="text1"/>
          <w:bdr w:val="none" w:sz="0" w:space="0" w:color="auto" w:frame="1"/>
          <w:shd w:val="clear" w:color="auto" w:fill="C6C6C6"/>
        </w:rPr>
        <w:t> </w:t>
      </w:r>
    </w:p>
    <w:p w14:paraId="617C12BF" w14:textId="77777777" w:rsidR="00D87B1D" w:rsidRPr="009C4D05" w:rsidRDefault="00D87B1D" w:rsidP="009C4D05">
      <w:pPr>
        <w:spacing w:after="0"/>
        <w:textAlignment w:val="baseline"/>
        <w:rPr>
          <w:rFonts w:ascii="Times New Roman" w:eastAsia="Times New Roman" w:hAnsi="Times New Roman" w:cs="Times New Roman"/>
          <w:b/>
          <w:bCs/>
          <w:color w:val="000000" w:themeColor="text1"/>
        </w:rPr>
      </w:pPr>
    </w:p>
    <w:p w14:paraId="6FE81787" w14:textId="5F308EFB"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The most surprising cell in Table 2  is Domain17-Markov, where the substrate gap is mildly negative — mismatched teams marginally beat matched teams. Domain17-Markov satisfies the conditions in which the sensitivity gain (real +10.5) outweighs the quality loss. The quality loss is small since Markov’s dominant-parent-mediated approximation is close to BBN on Domain17’s </w:t>
      </w:r>
      <w:proofErr w:type="spellStart"/>
      <w:r>
        <w:rPr>
          <w:rFonts w:ascii="Times New Roman" w:eastAsia="Times New Roman" w:hAnsi="Times New Roman" w:cs="Times New Roman"/>
          <w:color w:val="000000" w:themeColor="text1"/>
        </w:rPr>
        <w:t>CPTs.</w:t>
      </w:r>
      <w:proofErr w:type="spellEnd"/>
      <w:r>
        <w:rPr>
          <w:rFonts w:ascii="Times New Roman" w:eastAsia="Times New Roman" w:hAnsi="Times New Roman" w:cs="Times New Roman"/>
          <w:color w:val="000000" w:themeColor="text1"/>
        </w:rPr>
        <w:t xml:space="preserve">  </w:t>
      </w:r>
    </w:p>
    <w:p w14:paraId="35DB96B2" w14:textId="4241A078"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t>The Markov approximation being nearly lossless on many real Bayesian networks is a familiar practical observation, driven by the concentration of mutual information in dominant parent edges when CPTs are strongly informative. The near-</w:t>
      </w:r>
      <w:proofErr w:type="spellStart"/>
      <w:r>
        <w:rPr>
          <w:rFonts w:ascii="Times New Roman" w:eastAsia="Times New Roman" w:hAnsi="Times New Roman" w:cs="Times New Roman"/>
          <w:color w:val="000000" w:themeColor="text1"/>
        </w:rPr>
        <w:t>losslessness</w:t>
      </w:r>
      <w:proofErr w:type="spellEnd"/>
      <w:r>
        <w:rPr>
          <w:rFonts w:ascii="Times New Roman" w:eastAsia="Times New Roman" w:hAnsi="Times New Roman" w:cs="Times New Roman"/>
          <w:color w:val="000000" w:themeColor="text1"/>
        </w:rPr>
        <w:t xml:space="preserve"> has a cooperative-diagnosis consequence: a Markov agent can be added to a BBN team without an accuracy cost, and the sensitivity signal it generates is a modest positive contribution.</w:t>
      </w:r>
      <w:r>
        <w:rPr>
          <w:rFonts w:ascii="Times New Roman" w:eastAsia="Times New Roman" w:hAnsi="Times New Roman" w:cs="Times New Roman"/>
          <w:color w:val="000000" w:themeColor="text1"/>
          <w:bdr w:val="none" w:sz="0" w:space="0" w:color="auto" w:frame="1"/>
          <w:shd w:val="clear" w:color="auto" w:fill="C6C6C6"/>
        </w:rPr>
        <w:t> </w:t>
      </w:r>
    </w:p>
    <w:p w14:paraId="4430FFDC" w14:textId="77777777" w:rsidR="00C55492" w:rsidRPr="009C4D05" w:rsidRDefault="00C55492" w:rsidP="009C4D05">
      <w:pPr>
        <w:spacing w:after="0"/>
        <w:textAlignment w:val="baseline"/>
        <w:rPr>
          <w:rFonts w:ascii="Times New Roman" w:eastAsia="Times New Roman" w:hAnsi="Times New Roman" w:cs="Times New Roman"/>
          <w:color w:val="000000" w:themeColor="text1"/>
        </w:rPr>
      </w:pPr>
    </w:p>
    <w:p w14:paraId="26D4628E" w14:textId="77777777" w:rsidR="009C4D05" w:rsidRDefault="009C4D05" w:rsidP="009C4D05">
      <w:pPr>
        <w:spacing w:after="0"/>
        <w:textAlignment w:val="baseline"/>
        <w:rPr>
          <w:rFonts w:ascii="Times New Roman" w:eastAsia="Times New Roman" w:hAnsi="Times New Roman" w:cs="Times New Roman"/>
          <w:b/>
          <w:bCs/>
          <w:color w:val="000000" w:themeColor="text1"/>
          <w:bdr w:val="none" w:sz="0" w:space="0" w:color="auto" w:frame="1"/>
          <w:shd w:val="clear" w:color="auto" w:fill="C6C6C6"/>
        </w:rPr>
      </w:pPr>
      <w:r>
        <w:rPr>
          <w:rFonts w:ascii="Times New Roman" w:eastAsia="Times New Roman" w:hAnsi="Times New Roman" w:cs="Times New Roman"/>
          <w:b/>
          <w:bCs/>
          <w:color w:val="000000" w:themeColor="text1"/>
        </w:rPr>
        <w:t>6.6 Boundary conditions and limitations</w:t>
      </w:r>
      <w:r>
        <w:rPr>
          <w:rFonts w:ascii="Times New Roman" w:eastAsia="Times New Roman" w:hAnsi="Times New Roman" w:cs="Times New Roman"/>
          <w:b/>
          <w:bCs/>
          <w:color w:val="000000" w:themeColor="text1"/>
          <w:bdr w:val="none" w:sz="0" w:space="0" w:color="auto" w:frame="1"/>
          <w:shd w:val="clear" w:color="auto" w:fill="C6C6C6"/>
        </w:rPr>
        <w:t> </w:t>
      </w:r>
    </w:p>
    <w:p w14:paraId="3CD5ADF0" w14:textId="77777777" w:rsidR="00C55492" w:rsidRPr="009C4D05" w:rsidRDefault="00C55492" w:rsidP="009C4D05">
      <w:pPr>
        <w:spacing w:after="0"/>
        <w:textAlignment w:val="baseline"/>
        <w:rPr>
          <w:rFonts w:ascii="Times New Roman" w:eastAsia="Times New Roman" w:hAnsi="Times New Roman" w:cs="Times New Roman"/>
          <w:b/>
          <w:bCs/>
          <w:color w:val="000000" w:themeColor="text1"/>
        </w:rPr>
      </w:pPr>
    </w:p>
    <w:p w14:paraId="6C7EAD8C" w14:textId="455BCAD7" w:rsidR="00C55492"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Several boundary conditions bear notes. First, our primary experiments use three-person teams, following Okabe et al. (2025). This choice is defensible on grounds that a three-person team is the minimum non-trivial unit for studying recursive mutual belief: a two-person dyad has no third-party belief structure to project, while a three-person team introduces the L3 projected-belief layer without yet requiring the mental-subgrouping machinery of </w:t>
      </w:r>
      <w:proofErr w:type="spellStart"/>
      <w:r>
        <w:rPr>
          <w:rFonts w:ascii="Times New Roman" w:eastAsia="Times New Roman" w:hAnsi="Times New Roman" w:cs="Times New Roman"/>
          <w:color w:val="000000" w:themeColor="text1"/>
        </w:rPr>
        <w:t>Mahardhika</w:t>
      </w:r>
      <w:proofErr w:type="spellEnd"/>
      <w:r>
        <w:rPr>
          <w:rFonts w:ascii="Times New Roman" w:eastAsia="Times New Roman" w:hAnsi="Times New Roman" w:cs="Times New Roman"/>
          <w:color w:val="000000" w:themeColor="text1"/>
        </w:rPr>
        <w:t xml:space="preserve"> et al. (2016). We tested how far the two-force account extends at larger team sizes using the N=5 scalability check reported in §5.8, which was run on all three networks. That check makes three quantitative </w:t>
      </w:r>
      <w:r>
        <w:rPr>
          <w:rFonts w:ascii="Times New Roman" w:eastAsia="Times New Roman" w:hAnsi="Times New Roman" w:cs="Times New Roman"/>
          <w:color w:val="000000" w:themeColor="text1"/>
        </w:rPr>
        <w:lastRenderedPageBreak/>
        <w:t>claims we could not make from N=3 alone: (</w:t>
      </w:r>
      <w:proofErr w:type="spellStart"/>
      <w:r>
        <w:rPr>
          <w:rFonts w:ascii="Times New Roman" w:eastAsia="Times New Roman" w:hAnsi="Times New Roman" w:cs="Times New Roman"/>
          <w:color w:val="000000" w:themeColor="text1"/>
        </w:rPr>
        <w:t>i</w:t>
      </w:r>
      <w:proofErr w:type="spellEnd"/>
      <w:r>
        <w:rPr>
          <w:rFonts w:ascii="Times New Roman" w:eastAsia="Times New Roman" w:hAnsi="Times New Roman" w:cs="Times New Roman"/>
          <w:color w:val="000000" w:themeColor="text1"/>
        </w:rPr>
        <w:t>) the sensitivity gain scales super-linearly with team size on every one of the six (network × axis) cells, ratios 1.79× to 5.71×, cross-cell mean 3.43× — close to the theoretical (N−1)² monitoring-surface ratio of 4×; (ii) the single-agent inference quality loss does not scale with team size, since only one agent is the substrate outlier in either configuration; (iii) the balance between the two forces therefore shifts as N grows, most dramatically on Kanno-Markov(</w:t>
      </w:r>
      <w:proofErr w:type="spellStart"/>
      <w:r>
        <w:rPr>
          <w:rFonts w:ascii="Times New Roman" w:eastAsia="Times New Roman" w:hAnsi="Times New Roman" w:cs="Times New Roman"/>
          <w:color w:val="000000" w:themeColor="text1"/>
        </w:rPr>
        <w:t>sub_gap</w:t>
      </w:r>
      <w:proofErr w:type="spellEnd"/>
      <w:r>
        <w:rPr>
          <w:rFonts w:ascii="Times New Roman" w:eastAsia="Times New Roman" w:hAnsi="Times New Roman" w:cs="Times New Roman"/>
          <w:color w:val="000000" w:themeColor="text1"/>
        </w:rPr>
        <w:t xml:space="preserve"> −0.002 → −0.120 — mismatch becomes strongly beneficial at N=5) and on Domain17-tree (+0.077 → +0.010 — mismatch nearly neutralized). </w:t>
      </w:r>
    </w:p>
    <w:p w14:paraId="52D4BA23" w14:textId="101E17EF" w:rsidR="009C4D05" w:rsidRDefault="009C4D05" w:rsidP="27B18DEF">
      <w:pPr>
        <w:spacing w:after="0" w:line="259" w:lineRule="auto"/>
      </w:pPr>
      <w:r>
        <w:rPr>
          <w:rFonts w:ascii="Times New Roman" w:eastAsia="Times New Roman" w:hAnsi="Times New Roman" w:cs="Times New Roman"/>
          <w:color w:val="000000" w:themeColor="text1"/>
        </w:rPr>
        <w:t>The account thus predicts a specific quantitative structure — sensitivity gain scaling with (N−1) ² while quality loss remains constant — that we observe across three separate networks with different topologies, CPT structures, and node counts. What we still do not settle from N=5 is behavior at N=7-9 (typical operational team size), at higher outlier fractions (majority-minority splits, substrate-clustered</w:t>
      </w:r>
      <w:r w:rsidR="00D06AD1">
        <w:rPr>
          <w:rFonts w:ascii="Times New Roman" w:eastAsia="Times New Roman" w:hAnsi="Times New Roman" w:cs="Times New Roman"/>
          <w:color w:val="000000" w:themeColor="text1"/>
        </w:rPr>
        <w:t xml:space="preserve"> </w:t>
      </w:r>
      <w:proofErr w:type="spellStart"/>
      <w:r>
        <w:rPr>
          <w:rFonts w:ascii="Times New Roman" w:eastAsia="Times New Roman" w:hAnsi="Times New Roman" w:cs="Times New Roman"/>
          <w:color w:val="000000" w:themeColor="text1"/>
        </w:rPr>
        <w:t>subteams</w:t>
      </w:r>
      <w:proofErr w:type="spellEnd"/>
      <w:r>
        <w:rPr>
          <w:rFonts w:ascii="Times New Roman" w:eastAsia="Times New Roman" w:hAnsi="Times New Roman" w:cs="Times New Roman"/>
          <w:color w:val="000000" w:themeColor="text1"/>
        </w:rPr>
        <w:t xml:space="preserve">), or under mental subgrouping. </w:t>
      </w:r>
      <w:r>
        <w:rPr>
          <w:rFonts w:ascii="Times New Roman" w:eastAsia="Times New Roman" w:hAnsi="Times New Roman" w:cs="Times New Roman"/>
        </w:rPr>
        <w:t>These represent the natural next steps in the study.</w:t>
      </w:r>
    </w:p>
    <w:p w14:paraId="45F5A84E" w14:textId="1E550BC6" w:rsidR="009C4D05" w:rsidRPr="009C4D05" w:rsidRDefault="00C55492"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Second, all our experiments crossed the substrate axis at a fixed outlier count (one agent). At N=5, two-outlier or three-outlier compositions become tractable and would test whether quality loss aggregates roughly linearly with the outlier fraction, as the account predicts; we did not run those compositions here. The pattern our three-network N=5 data documents, however — that the sensitivity mechanism scales faster with team size than the quality mechanism does in every cell tested — is precisely what the two-force account requires to be true, not an artifact of the specific compositions or networks tested.</w:t>
      </w:r>
    </w:p>
    <w:p w14:paraId="7C469F22" w14:textId="353A043D" w:rsidR="009C4D05" w:rsidRPr="009C4D05" w:rsidRDefault="00C55492"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Third, all results reported here are at THD = 0.55. Preliminary sweeps at THD = 0.65 (on Kanno-tree) show the sensitivity mechanism is intact, but the aware-vs-naive accuracy consequences change with threshold. This is expected, since higher thresholds produce fewer commitments and therefore less surface area for aware/naive to bite. A full THD × cell sweep is a natural next step in the study.</w:t>
      </w:r>
    </w:p>
    <w:p w14:paraId="3C53E3A6" w14:textId="74F162E3" w:rsidR="009C4D05" w:rsidRPr="009C4D05" w:rsidRDefault="00C55492"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Fourth, our N=15 per cell for the two 17-node networks is reduced from the original EMBM protocol of N=40, and ALARM was run at a further-reduced N=5. Aggregate estimates for the 17-node networks are stable at N=15; per-scenario estimates are more uncertain. ALARM’s N=5 was deliberately chosen to fit the scale-expansion role of that network: the goal was </w:t>
      </w:r>
      <w:proofErr w:type="gramStart"/>
      <w:r>
        <w:rPr>
          <w:rFonts w:ascii="Times New Roman" w:eastAsia="Times New Roman" w:hAnsi="Times New Roman" w:cs="Times New Roman"/>
          <w:color w:val="000000" w:themeColor="text1"/>
        </w:rPr>
        <w:t>sign</w:t>
      </w:r>
      <w:proofErr w:type="gramEnd"/>
      <w:r>
        <w:rPr>
          <w:rFonts w:ascii="Times New Roman" w:eastAsia="Times New Roman" w:hAnsi="Times New Roman" w:cs="Times New Roman"/>
          <w:color w:val="000000" w:themeColor="text1"/>
        </w:rPr>
        <w:t xml:space="preserve"> consistency and mechanism preservation across a larger network, not tightening confidence intervals already established at N=15 on the smaller networks. Where our claims turn on 8/8 (or on ALARM, 6/8) replication of a sign, replication is at 8/8 (or 6/8) regardless of N; where they turn on aggregate significance testing, the reduced N is a conservative choice (less power) rather than a permissive one. The attenuated but sign-preserved substrate gap on ALARM-tree (+0.024 vs +0.077 on Domain17-tree and +0.053 on Kanno-tree) is discussed further in §5.1 as a scale effect predicted by the two-force account rather than as an artifact of reduced N.</w:t>
      </w:r>
    </w:p>
    <w:p w14:paraId="79511A5D" w14:textId="77777777" w:rsidR="009C4D05" w:rsidRPr="009C4D05" w:rsidRDefault="00C55492"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Fifth, we used hand-specified engines throughout. Learned engines (e.g., a decision tree trained on fault data rather than compiled from CPTs) would introduce training-noise confounds that we deliberately avoided. Extending the framework to learned engines is a natural direction, but it requires care to disentangle substrate structure from the training regime.</w:t>
      </w:r>
    </w:p>
    <w:p w14:paraId="376D516E" w14:textId="77777777" w:rsidR="009C4D05" w:rsidRPr="009C4D05" w:rsidRDefault="00C55492"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We studied three substrates. Others — for example, large language models used as approximate posterior estimators — would extend the analysis but require new translation rules. Nothing in the two-force account is specific to the three substrates we used.</w:t>
      </w:r>
      <w:r>
        <w:rPr>
          <w:rFonts w:ascii="Times New Roman" w:eastAsia="Times New Roman" w:hAnsi="Times New Roman" w:cs="Times New Roman"/>
          <w:color w:val="000000" w:themeColor="text1"/>
          <w:bdr w:val="none" w:sz="0" w:space="0" w:color="auto" w:frame="1"/>
          <w:shd w:val="clear" w:color="auto" w:fill="C6C6C6"/>
        </w:rPr>
        <w:t> </w:t>
      </w:r>
    </w:p>
    <w:p w14:paraId="77D9B54F" w14:textId="77777777" w:rsidR="009C4D05" w:rsidRDefault="00C55492" w:rsidP="009C4D05">
      <w:pPr>
        <w:spacing w:after="0"/>
        <w:textAlignment w:val="baseline"/>
      </w:pPr>
      <w:r>
        <w:rPr>
          <w:rFonts w:ascii="Times New Roman" w:eastAsia="Times New Roman" w:hAnsi="Times New Roman" w:cs="Times New Roman"/>
          <w:color w:val="000000" w:themeColor="text1"/>
        </w:rPr>
        <w:t xml:space="preserve">Sixth, the phantom/real decomposition is defined at the level of the initial-conflict snapshot, before cooperation. </w:t>
      </w:r>
      <w:r>
        <w:rPr>
          <w:rFonts w:ascii="Times New Roman" w:eastAsia="Times New Roman" w:hAnsi="Times New Roman" w:cs="Times New Roman"/>
        </w:rPr>
        <w:t xml:space="preserve">Extending this analysis to the full cooperation trajectory requires tracking </w:t>
      </w:r>
      <w:r>
        <w:rPr>
          <w:rFonts w:ascii="Times New Roman" w:eastAsia="Times New Roman" w:hAnsi="Times New Roman" w:cs="Times New Roman"/>
        </w:rPr>
        <w:lastRenderedPageBreak/>
        <w:t xml:space="preserve">whether each action resolved a real or phantom conflict </w:t>
      </w:r>
      <w:proofErr w:type="gramStart"/>
      <w:r>
        <w:rPr>
          <w:rFonts w:ascii="Times New Roman" w:eastAsia="Times New Roman" w:hAnsi="Times New Roman" w:cs="Times New Roman"/>
        </w:rPr>
        <w:t>at the moment</w:t>
      </w:r>
      <w:proofErr w:type="gramEnd"/>
      <w:r>
        <w:rPr>
          <w:rFonts w:ascii="Times New Roman" w:eastAsia="Times New Roman" w:hAnsi="Times New Roman" w:cs="Times New Roman"/>
        </w:rPr>
        <w:t xml:space="preserve"> of execution. This requirement defines the next stage of instrumentation.</w:t>
      </w:r>
    </w:p>
    <w:p w14:paraId="760D9B6C" w14:textId="77777777" w:rsidR="00C55492" w:rsidRPr="009C4D05" w:rsidRDefault="00C55492" w:rsidP="27B18DEF">
      <w:pPr>
        <w:spacing w:after="0"/>
        <w:textAlignment w:val="baseline"/>
        <w:rPr>
          <w:rFonts w:ascii="Times New Roman" w:eastAsia="Times New Roman" w:hAnsi="Times New Roman" w:cs="Times New Roman"/>
          <w:color w:val="000000" w:themeColor="text1"/>
        </w:rPr>
      </w:pPr>
    </w:p>
    <w:p w14:paraId="031064AA" w14:textId="77777777" w:rsidR="009C4D05" w:rsidRDefault="009C4D05" w:rsidP="009C4D05">
      <w:pPr>
        <w:spacing w:after="0"/>
        <w:textAlignment w:val="baseline"/>
        <w:rPr>
          <w:rFonts w:ascii="Times New Roman" w:eastAsia="Times New Roman" w:hAnsi="Times New Roman" w:cs="Times New Roman"/>
          <w:b/>
          <w:bCs/>
          <w:color w:val="000000" w:themeColor="text1"/>
          <w:bdr w:val="none" w:sz="0" w:space="0" w:color="auto" w:frame="1"/>
          <w:shd w:val="clear" w:color="auto" w:fill="C6C6C6"/>
        </w:rPr>
      </w:pPr>
      <w:r>
        <w:rPr>
          <w:rFonts w:ascii="Times New Roman" w:eastAsia="Times New Roman" w:hAnsi="Times New Roman" w:cs="Times New Roman"/>
          <w:b/>
          <w:bCs/>
          <w:color w:val="000000" w:themeColor="text1"/>
        </w:rPr>
        <w:t>7. Conclusion</w:t>
      </w:r>
      <w:r>
        <w:rPr>
          <w:rFonts w:ascii="Times New Roman" w:eastAsia="Times New Roman" w:hAnsi="Times New Roman" w:cs="Times New Roman"/>
          <w:b/>
          <w:bCs/>
          <w:color w:val="000000" w:themeColor="text1"/>
          <w:bdr w:val="none" w:sz="0" w:space="0" w:color="auto" w:frame="1"/>
          <w:shd w:val="clear" w:color="auto" w:fill="C6C6C6"/>
        </w:rPr>
        <w:t> </w:t>
      </w:r>
    </w:p>
    <w:p w14:paraId="26F28CED" w14:textId="77777777" w:rsidR="00C55492" w:rsidRPr="009C4D05" w:rsidRDefault="00C55492" w:rsidP="009C4D05">
      <w:pPr>
        <w:spacing w:after="0"/>
        <w:textAlignment w:val="baseline"/>
        <w:rPr>
          <w:rFonts w:ascii="Times New Roman" w:eastAsia="Times New Roman" w:hAnsi="Times New Roman" w:cs="Times New Roman"/>
          <w:b/>
          <w:bCs/>
          <w:color w:val="000000" w:themeColor="text1"/>
        </w:rPr>
      </w:pPr>
    </w:p>
    <w:p w14:paraId="4215184C" w14:textId="3A287975" w:rsidR="4707B6A3" w:rsidRDefault="4707B6A3" w:rsidP="27B18DEF">
      <w:pPr>
        <w:spacing w:after="0"/>
      </w:pPr>
      <w:r>
        <w:rPr>
          <w:rFonts w:ascii="Times New Roman" w:eastAsia="Times New Roman" w:hAnsi="Times New Roman" w:cs="Times New Roman"/>
        </w:rPr>
        <w:t xml:space="preserve">Substrate heterogeneity in recursive-mutual-belief teams is driven by two competing mechanisms rather than a single force. First, it induces a sensitivity gain that surfaces additional inter-agent conflicts when projection accounts for heterogeneity. Second, it incurs an </w:t>
      </w:r>
      <w:r w:rsidR="00D1189E">
        <w:rPr>
          <w:rFonts w:ascii="Times New Roman" w:eastAsia="Times New Roman" w:hAnsi="Times New Roman" w:cs="Times New Roman"/>
        </w:rPr>
        <w:t>inference-quality loss that scales with the extent</w:t>
      </w:r>
      <w:r>
        <w:rPr>
          <w:rFonts w:ascii="Times New Roman" w:eastAsia="Times New Roman" w:hAnsi="Times New Roman" w:cs="Times New Roman"/>
        </w:rPr>
        <w:t xml:space="preserve"> to which the mismatched substrate degrades single-agent diagnostic accuracy. The net effect of this mismatch on team accuracy depends on the balance of these forces, which varies deterministically across different (network, axis) regimes. </w:t>
      </w:r>
      <w:r>
        <w:rPr>
          <w:rFonts w:ascii="Times New Roman" w:eastAsia="Times New Roman" w:hAnsi="Times New Roman" w:cs="Times New Roman"/>
          <w:color w:val="000000" w:themeColor="text1"/>
        </w:rPr>
        <w:t xml:space="preserve">The two forces are separately measurable and robust. The sensitivity gain replicates with per-scenario perfect (8/8) or near-perfect (6/8) sign consistency in the four (network × axis) cells we studied on the two 17-node networks and holds directionally but with attenuated magnitude on the 37-node ALARM network (substrate gap +0.024 with 6/8 sign consistency on the tree axis). The naive-projection suppression of that sensitivity replicates similarly on the 17-node networks, and the matched-team specificity check confirms both effects arise specifically from heterogeneity rather than from projection mode per se on all three networks (max |matched-aware − matched-naive| = 0.007 on ALARM). </w:t>
      </w:r>
      <w:r>
        <w:rPr>
          <w:rFonts w:ascii="Times New Roman" w:eastAsia="Times New Roman" w:hAnsi="Times New Roman" w:cs="Times New Roman"/>
        </w:rPr>
        <w:t>The phantom-real decomposition demonstrates that while the sensitivity gain is genuine, it is not entirely productive.</w:t>
      </w:r>
    </w:p>
    <w:p w14:paraId="3E51EEEE" w14:textId="13710298" w:rsidR="009C4D05" w:rsidRPr="009C4D05" w:rsidRDefault="004D4AF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The </w:t>
      </w:r>
      <w:proofErr w:type="spellStart"/>
      <w:r>
        <w:rPr>
          <w:rFonts w:ascii="Times New Roman" w:eastAsia="Times New Roman" w:hAnsi="Times New Roman" w:cs="Times New Roman"/>
          <w:color w:val="000000" w:themeColor="text1"/>
        </w:rPr>
        <w:t>Anthropomorphization</w:t>
      </w:r>
      <w:proofErr w:type="spellEnd"/>
      <w:r>
        <w:rPr>
          <w:rFonts w:ascii="Times New Roman" w:eastAsia="Times New Roman" w:hAnsi="Times New Roman" w:cs="Times New Roman"/>
          <w:color w:val="000000" w:themeColor="text1"/>
        </w:rPr>
        <w:t xml:space="preserve"> Trap — the original hypothesis that assuming your heterogeneous teammate reasons like you do costs accuracy — is best understood </w:t>
      </w:r>
      <w:proofErr w:type="gramStart"/>
      <w:r>
        <w:rPr>
          <w:rFonts w:ascii="Times New Roman" w:eastAsia="Times New Roman" w:hAnsi="Times New Roman" w:cs="Times New Roman"/>
          <w:color w:val="000000" w:themeColor="text1"/>
        </w:rPr>
        <w:t>as a consequence of</w:t>
      </w:r>
      <w:proofErr w:type="gramEnd"/>
      <w:r>
        <w:rPr>
          <w:rFonts w:ascii="Times New Roman" w:eastAsia="Times New Roman" w:hAnsi="Times New Roman" w:cs="Times New Roman"/>
          <w:color w:val="000000" w:themeColor="text1"/>
        </w:rPr>
        <w:t xml:space="preserve"> these two forces plus the naive-projection suppression, rather than as a single-mechanism prediction. When the substrate gap is large, naive projection loses meaningful information about disagreements, so aware projection wins. When the substrate gap is small, naive projection has little to lose. Whether a mismatch is beneficial or harmful in the first place depends on whether the two underlying forces are balanced toward sensitivity or quality.</w:t>
      </w:r>
      <w:r>
        <w:rPr>
          <w:rFonts w:ascii="Times New Roman" w:eastAsia="Times New Roman" w:hAnsi="Times New Roman" w:cs="Times New Roman"/>
          <w:color w:val="000000" w:themeColor="text1"/>
          <w:bdr w:val="none" w:sz="0" w:space="0" w:color="auto" w:frame="1"/>
          <w:shd w:val="clear" w:color="auto" w:fill="C6C6C6"/>
        </w:rPr>
        <w:t> </w:t>
      </w:r>
    </w:p>
    <w:p w14:paraId="6847F9B3" w14:textId="79E65EC7"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t>We suggest that recursive-mutual-belief models of team cognition are best formulated with pluggable inference substrates from the outset. Homogeneity assumptions are analytically convenient but empirically restrictive, and as this paper shows</w:t>
      </w:r>
      <w:r w:rsidR="00D1189E">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 xml:space="preserve"> the coordination dynamics they hide are not merely additive corrections but structurally distinct forces whose balance is the actual dependent variable of interest.</w:t>
      </w:r>
      <w:r>
        <w:rPr>
          <w:rFonts w:ascii="Times New Roman" w:eastAsia="Times New Roman" w:hAnsi="Times New Roman" w:cs="Times New Roman"/>
          <w:color w:val="000000" w:themeColor="text1"/>
          <w:bdr w:val="none" w:sz="0" w:space="0" w:color="auto" w:frame="1"/>
          <w:shd w:val="clear" w:color="auto" w:fill="C6C6C6"/>
        </w:rPr>
        <w:t> </w:t>
      </w:r>
    </w:p>
    <w:p w14:paraId="2BE5E79C" w14:textId="77777777" w:rsidR="00C55492" w:rsidRDefault="00C55492" w:rsidP="009C4D05">
      <w:pPr>
        <w:spacing w:after="0"/>
        <w:textAlignment w:val="baseline"/>
        <w:rPr>
          <w:rFonts w:ascii="Times New Roman" w:eastAsia="Times New Roman" w:hAnsi="Times New Roman" w:cs="Times New Roman"/>
          <w:b/>
          <w:bCs/>
          <w:color w:val="000000" w:themeColor="text1"/>
        </w:rPr>
      </w:pPr>
    </w:p>
    <w:p w14:paraId="2DF3230A" w14:textId="77777777" w:rsidR="006C102F" w:rsidRPr="006C102F" w:rsidRDefault="009C4D05" w:rsidP="009C4D05">
      <w:pPr>
        <w:spacing w:after="0"/>
        <w:textAlignment w:val="baseline"/>
        <w:rPr>
          <w:rFonts w:ascii="Times New Roman" w:eastAsia="Times New Roman" w:hAnsi="Times New Roman" w:cs="Times New Roman"/>
          <w:b/>
          <w:bCs/>
          <w:color w:val="000000" w:themeColor="text1"/>
          <w:bdr w:val="none" w:sz="0" w:space="0" w:color="auto" w:frame="1"/>
          <w:shd w:val="clear" w:color="auto" w:fill="C6C6C6"/>
        </w:rPr>
      </w:pPr>
      <w:r>
        <w:rPr>
          <w:rFonts w:ascii="Times New Roman" w:eastAsia="Times New Roman" w:hAnsi="Times New Roman" w:cs="Times New Roman"/>
          <w:b/>
          <w:bCs/>
          <w:color w:val="000000" w:themeColor="text1"/>
        </w:rPr>
        <w:t>Data availability</w:t>
      </w:r>
      <w:r>
        <w:rPr>
          <w:rFonts w:ascii="Times New Roman" w:eastAsia="Times New Roman" w:hAnsi="Times New Roman" w:cs="Times New Roman"/>
          <w:b/>
          <w:bCs/>
          <w:color w:val="000000" w:themeColor="text1"/>
          <w:bdr w:val="none" w:sz="0" w:space="0" w:color="auto" w:frame="1"/>
          <w:shd w:val="clear" w:color="auto" w:fill="C6C6C6"/>
        </w:rPr>
        <w:t> </w:t>
      </w:r>
    </w:p>
    <w:p w14:paraId="63940887" w14:textId="77777777" w:rsidR="00C55492" w:rsidRPr="00C55492" w:rsidRDefault="009C4D05" w:rsidP="009C4D05">
      <w:pPr>
        <w:spacing w:after="0"/>
        <w:textAlignment w:val="baseline"/>
      </w:pPr>
      <w:r>
        <w:rPr>
          <w:rFonts w:ascii="Times New Roman" w:eastAsia="Times New Roman" w:hAnsi="Times New Roman" w:cs="Times New Roman"/>
          <w:color w:val="000000" w:themeColor="text1"/>
        </w:rPr>
        <w:t>All experimental scripts and results JSONs are available at </w:t>
      </w:r>
      <w:hyperlink r:id="rId18">
        <w:r>
          <w:rPr>
            <w:rFonts w:ascii="Times New Roman" w:eastAsia="Times New Roman" w:hAnsi="Times New Roman" w:cs="Times New Roman"/>
            <w:color w:val="000000" w:themeColor="text1"/>
          </w:rPr>
          <w:t>https://github.com/rkallur2/substrate-heterogeneity</w:t>
        </w:r>
      </w:hyperlink>
    </w:p>
    <w:p w14:paraId="41181156" w14:textId="4B4FD48C" w:rsidR="00C55492" w:rsidRPr="00800750" w:rsidRDefault="009C4D05" w:rsidP="00CB30E1">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The 2×2×2 primary design can be reproduced using run_conflict_instrument.py {domain17|kanno} {</w:t>
      </w:r>
      <w:proofErr w:type="spellStart"/>
      <w:r>
        <w:rPr>
          <w:rFonts w:ascii="Times New Roman" w:eastAsia="Times New Roman" w:hAnsi="Times New Roman" w:cs="Times New Roman"/>
          <w:color w:val="000000" w:themeColor="text1"/>
        </w:rPr>
        <w:t>tree|markov</w:t>
      </w:r>
      <w:proofErr w:type="spellEnd"/>
      <w:r>
        <w:rPr>
          <w:rFonts w:ascii="Times New Roman" w:eastAsia="Times New Roman" w:hAnsi="Times New Roman" w:cs="Times New Roman"/>
          <w:color w:val="000000" w:themeColor="text1"/>
        </w:rPr>
        <w:t>} with the documented base seeds (900_000, 910_000, 500_000, 800_000 for the four cells, respectively). The ALARM scale-expansion cells are reproduced with N_RUNS=5 python run_conflict_instrument.py alarm {</w:t>
      </w:r>
      <w:proofErr w:type="spellStart"/>
      <w:r>
        <w:rPr>
          <w:rFonts w:ascii="Times New Roman" w:eastAsia="Times New Roman" w:hAnsi="Times New Roman" w:cs="Times New Roman"/>
          <w:color w:val="000000" w:themeColor="text1"/>
        </w:rPr>
        <w:t>tree|markov</w:t>
      </w:r>
      <w:proofErr w:type="spellEnd"/>
      <w:r>
        <w:rPr>
          <w:rFonts w:ascii="Times New Roman" w:eastAsia="Times New Roman" w:hAnsi="Times New Roman" w:cs="Times New Roman"/>
          <w:color w:val="000000" w:themeColor="text1"/>
        </w:rPr>
        <w:t>} at base seeds 1_000_000 and 1_010_000. The ALARM network is loaded from Beinlich et al.’s </w:t>
      </w:r>
      <w:r w:rsidR="00CB30E1">
        <w:rPr>
          <w:rFonts w:ascii="Times New Roman" w:eastAsia="Times New Roman" w:hAnsi="Times New Roman" w:cs="Times New Roman"/>
          <w:color w:val="000000" w:themeColor="text1"/>
        </w:rPr>
        <w:t xml:space="preserve">(1989) </w:t>
      </w:r>
      <w:r>
        <w:rPr>
          <w:rFonts w:ascii="Times New Roman" w:eastAsia="Times New Roman" w:hAnsi="Times New Roman" w:cs="Times New Roman"/>
          <w:color w:val="000000" w:themeColor="text1"/>
        </w:rPr>
        <w:t>canonical .</w:t>
      </w:r>
      <w:proofErr w:type="spellStart"/>
      <w:r>
        <w:rPr>
          <w:rFonts w:ascii="Times New Roman" w:eastAsia="Times New Roman" w:hAnsi="Times New Roman" w:cs="Times New Roman"/>
          <w:color w:val="000000" w:themeColor="text1"/>
        </w:rPr>
        <w:t>bif</w:t>
      </w:r>
      <w:proofErr w:type="spellEnd"/>
      <w:r>
        <w:rPr>
          <w:rFonts w:ascii="Times New Roman" w:eastAsia="Times New Roman" w:hAnsi="Times New Roman" w:cs="Times New Roman"/>
          <w:color w:val="000000" w:themeColor="text1"/>
        </w:rPr>
        <w:t xml:space="preserve"> file as distributed by the </w:t>
      </w:r>
      <w:proofErr w:type="spellStart"/>
      <w:r>
        <w:rPr>
          <w:rFonts w:ascii="Times New Roman" w:eastAsia="Times New Roman" w:hAnsi="Times New Roman" w:cs="Times New Roman"/>
          <w:color w:val="000000" w:themeColor="text1"/>
        </w:rPr>
        <w:t>bnlearn</w:t>
      </w:r>
      <w:proofErr w:type="spellEnd"/>
      <w:r>
        <w:rPr>
          <w:rFonts w:ascii="Times New Roman" w:eastAsia="Times New Roman" w:hAnsi="Times New Roman" w:cs="Times New Roman"/>
          <w:color w:val="000000" w:themeColor="text1"/>
        </w:rPr>
        <w:t xml:space="preserve"> repository</w:t>
      </w:r>
      <w:r w:rsidR="00CB30E1">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(bnlearn.com/</w:t>
      </w:r>
      <w:proofErr w:type="spellStart"/>
      <w:r>
        <w:rPr>
          <w:rFonts w:ascii="Times New Roman" w:eastAsia="Times New Roman" w:hAnsi="Times New Roman" w:cs="Times New Roman"/>
          <w:color w:val="000000" w:themeColor="text1"/>
        </w:rPr>
        <w:t>bnrepository</w:t>
      </w:r>
      <w:proofErr w:type="spellEnd"/>
      <w:r>
        <w:rPr>
          <w:rFonts w:ascii="Times New Roman" w:eastAsia="Times New Roman" w:hAnsi="Times New Roman" w:cs="Times New Roman"/>
          <w:color w:val="000000" w:themeColor="text1"/>
        </w:rPr>
        <w:t xml:space="preserve">/alarm/alarm.bif.gz). The 8 hard scenarios for ALARM were sampled with sample_pool_alarm.py at pool seed 20260706 and are included in the release </w:t>
      </w:r>
      <w:proofErr w:type="spellStart"/>
      <w:r>
        <w:rPr>
          <w:rFonts w:ascii="Times New Roman" w:eastAsia="Times New Roman" w:hAnsi="Times New Roman" w:cs="Times New Roman"/>
          <w:color w:val="000000" w:themeColor="text1"/>
        </w:rPr>
        <w:t>ashard_scenarios_alarm.pkl</w:t>
      </w:r>
      <w:proofErr w:type="spellEnd"/>
      <w:r>
        <w:rPr>
          <w:rFonts w:ascii="Times New Roman" w:eastAsia="Times New Roman" w:hAnsi="Times New Roman" w:cs="Times New Roman"/>
          <w:color w:val="000000" w:themeColor="text1"/>
        </w:rPr>
        <w:t>.</w:t>
      </w:r>
    </w:p>
    <w:p w14:paraId="535DF877" w14:textId="77777777" w:rsidR="00C55492" w:rsidRDefault="00C55492">
      <w:pPr>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bdr w:val="none" w:sz="0" w:space="0" w:color="auto" w:frame="1"/>
          <w:shd w:val="clear" w:color="auto" w:fill="C6C6C6"/>
        </w:rPr>
        <w:br w:type="page"/>
      </w:r>
    </w:p>
    <w:p w14:paraId="5711E078" w14:textId="77777777" w:rsidR="009C4D05" w:rsidRDefault="009C4D05" w:rsidP="009C4D05">
      <w:pPr>
        <w:spacing w:after="0"/>
        <w:textAlignment w:val="baseline"/>
        <w:rPr>
          <w:rFonts w:ascii="Times New Roman" w:eastAsia="Times New Roman" w:hAnsi="Times New Roman" w:cs="Times New Roman"/>
          <w:b/>
          <w:bCs/>
          <w:color w:val="000000" w:themeColor="text1"/>
          <w:bdr w:val="none" w:sz="0" w:space="0" w:color="auto" w:frame="1"/>
          <w:shd w:val="clear" w:color="auto" w:fill="C6C6C6"/>
        </w:rPr>
      </w:pPr>
      <w:r>
        <w:rPr>
          <w:rFonts w:ascii="Times New Roman" w:eastAsia="Times New Roman" w:hAnsi="Times New Roman" w:cs="Times New Roman"/>
          <w:b/>
          <w:bCs/>
          <w:color w:val="000000" w:themeColor="text1"/>
        </w:rPr>
        <w:lastRenderedPageBreak/>
        <w:t>References</w:t>
      </w:r>
      <w:r>
        <w:rPr>
          <w:rFonts w:ascii="Times New Roman" w:eastAsia="Times New Roman" w:hAnsi="Times New Roman" w:cs="Times New Roman"/>
          <w:b/>
          <w:bCs/>
          <w:color w:val="000000" w:themeColor="text1"/>
          <w:bdr w:val="none" w:sz="0" w:space="0" w:color="auto" w:frame="1"/>
          <w:shd w:val="clear" w:color="auto" w:fill="C6C6C6"/>
        </w:rPr>
        <w:t> </w:t>
      </w:r>
    </w:p>
    <w:p w14:paraId="63DD435E" w14:textId="77777777" w:rsidR="00C55492" w:rsidRPr="009C4D05" w:rsidRDefault="00C55492" w:rsidP="009C4D05">
      <w:pPr>
        <w:spacing w:after="0"/>
        <w:textAlignment w:val="baseline"/>
        <w:rPr>
          <w:rFonts w:ascii="Times New Roman" w:eastAsia="Times New Roman" w:hAnsi="Times New Roman" w:cs="Times New Roman"/>
          <w:b/>
          <w:bCs/>
          <w:color w:val="000000" w:themeColor="text1"/>
        </w:rPr>
      </w:pPr>
    </w:p>
    <w:p w14:paraId="3A6E5CF1" w14:textId="77777777"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t>Anderson, J. R., &amp;</w:t>
      </w:r>
      <w:proofErr w:type="spellStart"/>
      <w:r>
        <w:rPr>
          <w:rFonts w:ascii="Times New Roman" w:eastAsia="Times New Roman" w:hAnsi="Times New Roman" w:cs="Times New Roman"/>
          <w:color w:val="000000" w:themeColor="text1"/>
        </w:rPr>
        <w:t>Lebiere</w:t>
      </w:r>
      <w:proofErr w:type="spellEnd"/>
      <w:r>
        <w:rPr>
          <w:rFonts w:ascii="Times New Roman" w:eastAsia="Times New Roman" w:hAnsi="Times New Roman" w:cs="Times New Roman"/>
          <w:color w:val="000000" w:themeColor="text1"/>
        </w:rPr>
        <w:t>, C. (1998). The atomic components of thought. Mahwah, NJ: Lawrence Erlbaum Associates.</w:t>
      </w:r>
      <w:r>
        <w:rPr>
          <w:rFonts w:ascii="Times New Roman" w:eastAsia="Times New Roman" w:hAnsi="Times New Roman" w:cs="Times New Roman"/>
          <w:color w:val="000000" w:themeColor="text1"/>
          <w:bdr w:val="none" w:sz="0" w:space="0" w:color="auto" w:frame="1"/>
          <w:shd w:val="clear" w:color="auto" w:fill="C6C6C6"/>
        </w:rPr>
        <w:t> </w:t>
      </w:r>
    </w:p>
    <w:p w14:paraId="36F063B1" w14:textId="77777777" w:rsidR="00C55492" w:rsidRPr="009C4D05" w:rsidRDefault="00C55492" w:rsidP="009C4D05">
      <w:pPr>
        <w:spacing w:after="0"/>
        <w:textAlignment w:val="baseline"/>
        <w:rPr>
          <w:rFonts w:ascii="Times New Roman" w:eastAsia="Times New Roman" w:hAnsi="Times New Roman" w:cs="Times New Roman"/>
          <w:color w:val="000000" w:themeColor="text1"/>
        </w:rPr>
      </w:pPr>
    </w:p>
    <w:p w14:paraId="3F2D447C"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Andrews, R. W., Lilly, J. M., Srivastava, D., &amp; Feigh, K. M. (2023). The role of shared mental models in human-AI teams: A theoretical review. Theoretical Issues in Ergonomics Science, 24(2), 129–175. https://doi.org/10.1080/1463922X.2022.2061080</w:t>
      </w:r>
      <w:r>
        <w:rPr>
          <w:rFonts w:ascii="Times New Roman" w:eastAsia="Times New Roman" w:hAnsi="Times New Roman" w:cs="Times New Roman"/>
          <w:color w:val="000000" w:themeColor="text1"/>
          <w:bdr w:val="none" w:sz="0" w:space="0" w:color="auto" w:frame="1"/>
          <w:shd w:val="clear" w:color="auto" w:fill="C6C6C6"/>
        </w:rPr>
        <w:t> </w:t>
      </w:r>
    </w:p>
    <w:p w14:paraId="46A911F4" w14:textId="77777777" w:rsidR="00C55492" w:rsidRDefault="00C55492" w:rsidP="009C4D05">
      <w:pPr>
        <w:spacing w:after="0"/>
        <w:textAlignment w:val="baseline"/>
        <w:rPr>
          <w:rFonts w:ascii="Times New Roman" w:eastAsia="Times New Roman" w:hAnsi="Times New Roman" w:cs="Times New Roman"/>
          <w:color w:val="000000" w:themeColor="text1"/>
        </w:rPr>
      </w:pPr>
    </w:p>
    <w:p w14:paraId="5F228D5D" w14:textId="77777777"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t>Beinlich, I. A., Suermondt, H. J., Chavez, R. M., &amp; Cooper, G. F. (1989). The ALARM Monitoring System: A case study with two probabilistic inference techniques for belief networks. In J. Hunter, J. Cookson, &amp; J. Wyatt (Eds.), Proceedings of the 2nd European Conference on Artificial Intelligence in Medicine (AIME ’89) (pp. 247–256). Berlin: Springer-Verlag.</w:t>
      </w:r>
      <w:r>
        <w:rPr>
          <w:rFonts w:ascii="Times New Roman" w:eastAsia="Times New Roman" w:hAnsi="Times New Roman" w:cs="Times New Roman"/>
          <w:color w:val="000000" w:themeColor="text1"/>
          <w:bdr w:val="none" w:sz="0" w:space="0" w:color="auto" w:frame="1"/>
          <w:shd w:val="clear" w:color="auto" w:fill="C6C6C6"/>
        </w:rPr>
        <w:t> </w:t>
      </w:r>
    </w:p>
    <w:p w14:paraId="4B960CD0" w14:textId="77777777" w:rsidR="00C55492" w:rsidRPr="009C4D05" w:rsidRDefault="00C55492" w:rsidP="009C4D05">
      <w:pPr>
        <w:spacing w:after="0"/>
        <w:textAlignment w:val="baseline"/>
        <w:rPr>
          <w:rFonts w:ascii="Times New Roman" w:eastAsia="Times New Roman" w:hAnsi="Times New Roman" w:cs="Times New Roman"/>
          <w:color w:val="000000" w:themeColor="text1"/>
        </w:rPr>
      </w:pPr>
    </w:p>
    <w:p w14:paraId="56767435" w14:textId="77777777"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t>Cao, S., MacLaren, N. G., Cao, Y., Marshall, J., Dong, Y.,</w:t>
      </w:r>
      <w:proofErr w:type="spellStart"/>
      <w:r>
        <w:rPr>
          <w:rFonts w:ascii="Times New Roman" w:eastAsia="Times New Roman" w:hAnsi="Times New Roman" w:cs="Times New Roman"/>
          <w:color w:val="000000" w:themeColor="text1"/>
        </w:rPr>
        <w:t>Yammarino</w:t>
      </w:r>
      <w:proofErr w:type="spellEnd"/>
      <w:r>
        <w:rPr>
          <w:rFonts w:ascii="Times New Roman" w:eastAsia="Times New Roman" w:hAnsi="Times New Roman" w:cs="Times New Roman"/>
          <w:color w:val="000000" w:themeColor="text1"/>
        </w:rPr>
        <w:t>, F. J., … Ruark, G. A. (2022). Group size and group performance in small collaborative team settings: An agent-based simulation model of collaborative decision-making dynamics. Complexity, 2022, 8265296.</w:t>
      </w:r>
      <w:hyperlink r:id="rId19" w:history="1">
        <w:r>
          <w:rPr>
            <w:rStyle w:val="Hyperlink"/>
            <w:rFonts w:ascii="Times New Roman" w:eastAsia="Times New Roman" w:hAnsi="Times New Roman" w:cs="Times New Roman"/>
          </w:rPr>
          <w:t>https://doi.org/10.1155/2022/8265296</w:t>
        </w:r>
      </w:hyperlink>
      <w:r>
        <w:rPr>
          <w:rFonts w:ascii="Times New Roman" w:eastAsia="Times New Roman" w:hAnsi="Times New Roman" w:cs="Times New Roman"/>
          <w:color w:val="000000" w:themeColor="text1"/>
          <w:bdr w:val="none" w:sz="0" w:space="0" w:color="auto" w:frame="1"/>
          <w:shd w:val="clear" w:color="auto" w:fill="C6C6C6"/>
        </w:rPr>
        <w:t> </w:t>
      </w:r>
    </w:p>
    <w:p w14:paraId="1954FDA2" w14:textId="77777777" w:rsidR="00C55492" w:rsidRPr="009C4D05" w:rsidRDefault="00C55492" w:rsidP="009C4D05">
      <w:pPr>
        <w:spacing w:after="0"/>
        <w:textAlignment w:val="baseline"/>
        <w:rPr>
          <w:rFonts w:ascii="Times New Roman" w:eastAsia="Times New Roman" w:hAnsi="Times New Roman" w:cs="Times New Roman"/>
          <w:color w:val="000000" w:themeColor="text1"/>
        </w:rPr>
      </w:pPr>
    </w:p>
    <w:p w14:paraId="6C92E44D" w14:textId="77777777"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t>Cooke, N. J., Salas, E., Cannon-Bowers, J. A., &amp; Stout, R. J. (2000). Measuring team knowledge. Human Factors, 42(1), 151–173. </w:t>
      </w:r>
      <w:hyperlink r:id="rId20" w:history="1">
        <w:r>
          <w:rPr>
            <w:rStyle w:val="Hyperlink"/>
            <w:rFonts w:ascii="Times New Roman" w:eastAsia="Times New Roman" w:hAnsi="Times New Roman" w:cs="Times New Roman"/>
          </w:rPr>
          <w:t>https://doi.org/10.1518/001872000779656561</w:t>
        </w:r>
      </w:hyperlink>
      <w:r>
        <w:rPr>
          <w:rFonts w:ascii="Times New Roman" w:eastAsia="Times New Roman" w:hAnsi="Times New Roman" w:cs="Times New Roman"/>
          <w:color w:val="000000" w:themeColor="text1"/>
          <w:bdr w:val="none" w:sz="0" w:space="0" w:color="auto" w:frame="1"/>
          <w:shd w:val="clear" w:color="auto" w:fill="C6C6C6"/>
        </w:rPr>
        <w:t> </w:t>
      </w:r>
    </w:p>
    <w:p w14:paraId="5A4D3D81" w14:textId="77777777" w:rsidR="00C55492" w:rsidRPr="009C4D05" w:rsidRDefault="00C55492" w:rsidP="009C4D05">
      <w:pPr>
        <w:spacing w:after="0"/>
        <w:textAlignment w:val="baseline"/>
        <w:rPr>
          <w:rFonts w:ascii="Times New Roman" w:eastAsia="Times New Roman" w:hAnsi="Times New Roman" w:cs="Times New Roman"/>
          <w:color w:val="000000" w:themeColor="text1"/>
        </w:rPr>
      </w:pPr>
    </w:p>
    <w:p w14:paraId="603D6E7B" w14:textId="77777777"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t>Cooke, N. J., Gorman, J. C., Myers, C. W., &amp; Duran, J. L. (2013). Interactive team cognition. Cognitive Science, 37(2), 255–285. </w:t>
      </w:r>
      <w:hyperlink r:id="rId21" w:history="1">
        <w:r>
          <w:rPr>
            <w:rStyle w:val="Hyperlink"/>
            <w:rFonts w:ascii="Times New Roman" w:eastAsia="Times New Roman" w:hAnsi="Times New Roman" w:cs="Times New Roman"/>
          </w:rPr>
          <w:t>https://doi.org/10.1111/cogs.12009</w:t>
        </w:r>
      </w:hyperlink>
      <w:r>
        <w:rPr>
          <w:rFonts w:ascii="Times New Roman" w:eastAsia="Times New Roman" w:hAnsi="Times New Roman" w:cs="Times New Roman"/>
          <w:color w:val="000000" w:themeColor="text1"/>
          <w:bdr w:val="none" w:sz="0" w:space="0" w:color="auto" w:frame="1"/>
          <w:shd w:val="clear" w:color="auto" w:fill="C6C6C6"/>
        </w:rPr>
        <w:t> </w:t>
      </w:r>
    </w:p>
    <w:p w14:paraId="2FC43EC0" w14:textId="77777777" w:rsidR="00C55492" w:rsidRPr="009C4D05" w:rsidRDefault="00C55492" w:rsidP="009C4D05">
      <w:pPr>
        <w:spacing w:after="0"/>
        <w:textAlignment w:val="baseline"/>
        <w:rPr>
          <w:rFonts w:ascii="Times New Roman" w:eastAsia="Times New Roman" w:hAnsi="Times New Roman" w:cs="Times New Roman"/>
          <w:color w:val="000000" w:themeColor="text1"/>
        </w:rPr>
      </w:pPr>
    </w:p>
    <w:p w14:paraId="16A80BF7" w14:textId="77777777"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proofErr w:type="spellStart"/>
      <w:r>
        <w:rPr>
          <w:rFonts w:ascii="Times New Roman" w:eastAsia="Times New Roman" w:hAnsi="Times New Roman" w:cs="Times New Roman"/>
          <w:color w:val="000000" w:themeColor="text1"/>
        </w:rPr>
        <w:t>Crosscombe</w:t>
      </w:r>
      <w:proofErr w:type="spellEnd"/>
      <w:r>
        <w:rPr>
          <w:rFonts w:ascii="Times New Roman" w:eastAsia="Times New Roman" w:hAnsi="Times New Roman" w:cs="Times New Roman"/>
          <w:color w:val="000000" w:themeColor="text1"/>
        </w:rPr>
        <w:t>, M., &amp; Lawry, J. (2016). A model of multi-agent consensus for vague and uncertain beliefs. Adaptive Behavior, 24(4), 249–260.</w:t>
      </w:r>
      <w:hyperlink r:id="rId22" w:history="1">
        <w:r>
          <w:rPr>
            <w:rStyle w:val="Hyperlink"/>
            <w:rFonts w:ascii="Times New Roman" w:eastAsia="Times New Roman" w:hAnsi="Times New Roman" w:cs="Times New Roman"/>
          </w:rPr>
          <w:t>https://doi.org/10.1177/1059712316661395</w:t>
        </w:r>
      </w:hyperlink>
      <w:r>
        <w:rPr>
          <w:rFonts w:ascii="Times New Roman" w:eastAsia="Times New Roman" w:hAnsi="Times New Roman" w:cs="Times New Roman"/>
          <w:color w:val="000000" w:themeColor="text1"/>
          <w:bdr w:val="none" w:sz="0" w:space="0" w:color="auto" w:frame="1"/>
          <w:shd w:val="clear" w:color="auto" w:fill="C6C6C6"/>
        </w:rPr>
        <w:t> </w:t>
      </w:r>
    </w:p>
    <w:p w14:paraId="47DFCFC2" w14:textId="77777777" w:rsidR="00C55492" w:rsidRPr="009C4D05" w:rsidRDefault="00C55492" w:rsidP="009C4D05">
      <w:pPr>
        <w:spacing w:after="0"/>
        <w:textAlignment w:val="baseline"/>
        <w:rPr>
          <w:rFonts w:ascii="Times New Roman" w:eastAsia="Times New Roman" w:hAnsi="Times New Roman" w:cs="Times New Roman"/>
          <w:color w:val="000000" w:themeColor="text1"/>
        </w:rPr>
      </w:pPr>
    </w:p>
    <w:p w14:paraId="703214D3"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proofErr w:type="spellStart"/>
      <w:r>
        <w:rPr>
          <w:rFonts w:ascii="Times New Roman" w:eastAsia="Times New Roman" w:hAnsi="Times New Roman" w:cs="Times New Roman"/>
          <w:color w:val="000000" w:themeColor="text1"/>
        </w:rPr>
        <w:t>Dourish</w:t>
      </w:r>
      <w:proofErr w:type="spellEnd"/>
      <w:r>
        <w:rPr>
          <w:rFonts w:ascii="Times New Roman" w:eastAsia="Times New Roman" w:hAnsi="Times New Roman" w:cs="Times New Roman"/>
          <w:color w:val="000000" w:themeColor="text1"/>
        </w:rPr>
        <w:t>, P., &amp; Bellotti, V. (1992). Awareness and coordination in shared workspaces. In Proceedings of the 1992 ACM Conference on Computer-Supported Cooperative Work (pp. 107–114). https://doi.org/10.1145/143457.143468</w:t>
      </w:r>
      <w:r>
        <w:rPr>
          <w:rFonts w:ascii="Times New Roman" w:eastAsia="Times New Roman" w:hAnsi="Times New Roman" w:cs="Times New Roman"/>
          <w:color w:val="000000" w:themeColor="text1"/>
          <w:bdr w:val="none" w:sz="0" w:space="0" w:color="auto" w:frame="1"/>
          <w:shd w:val="clear" w:color="auto" w:fill="C6C6C6"/>
        </w:rPr>
        <w:t> </w:t>
      </w:r>
    </w:p>
    <w:p w14:paraId="4C55CA34" w14:textId="77777777" w:rsidR="00C55492" w:rsidRDefault="00C55492" w:rsidP="009C4D05">
      <w:pPr>
        <w:spacing w:after="0"/>
        <w:textAlignment w:val="baseline"/>
        <w:rPr>
          <w:rFonts w:ascii="Times New Roman" w:eastAsia="Times New Roman" w:hAnsi="Times New Roman" w:cs="Times New Roman"/>
          <w:color w:val="000000" w:themeColor="text1"/>
        </w:rPr>
      </w:pPr>
    </w:p>
    <w:p w14:paraId="123B07EE"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Flavell, J. H. (1979). Metacognition and cognitive monitoring: A new area of cognitive-developmental inquiry. American Psychologist, 34(10), 906–911. https://doi.org/10.1037/0003-066X.34.10.906</w:t>
      </w:r>
      <w:r>
        <w:rPr>
          <w:rFonts w:ascii="Times New Roman" w:eastAsia="Times New Roman" w:hAnsi="Times New Roman" w:cs="Times New Roman"/>
          <w:color w:val="000000" w:themeColor="text1"/>
          <w:bdr w:val="none" w:sz="0" w:space="0" w:color="auto" w:frame="1"/>
          <w:shd w:val="clear" w:color="auto" w:fill="C6C6C6"/>
        </w:rPr>
        <w:t> </w:t>
      </w:r>
    </w:p>
    <w:p w14:paraId="7DAC0388" w14:textId="77777777" w:rsidR="00C55492" w:rsidRDefault="00C55492" w:rsidP="009C4D05">
      <w:pPr>
        <w:spacing w:after="0"/>
        <w:textAlignment w:val="baseline"/>
        <w:rPr>
          <w:rFonts w:ascii="Times New Roman" w:eastAsia="Times New Roman" w:hAnsi="Times New Roman" w:cs="Times New Roman"/>
          <w:color w:val="000000" w:themeColor="text1"/>
        </w:rPr>
      </w:pPr>
    </w:p>
    <w:p w14:paraId="4B1082F3" w14:textId="77777777"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proofErr w:type="spellStart"/>
      <w:r>
        <w:rPr>
          <w:rFonts w:ascii="Times New Roman" w:eastAsia="Times New Roman" w:hAnsi="Times New Roman" w:cs="Times New Roman"/>
          <w:color w:val="000000" w:themeColor="text1"/>
        </w:rPr>
        <w:t>Flemisch</w:t>
      </w:r>
      <w:proofErr w:type="spellEnd"/>
      <w:r>
        <w:rPr>
          <w:rFonts w:ascii="Times New Roman" w:eastAsia="Times New Roman" w:hAnsi="Times New Roman" w:cs="Times New Roman"/>
          <w:color w:val="000000" w:themeColor="text1"/>
        </w:rPr>
        <w:t>, F., Abbink, D. A., Itoh, M.,</w:t>
      </w:r>
      <w:proofErr w:type="spellStart"/>
      <w:r>
        <w:rPr>
          <w:rFonts w:ascii="Times New Roman" w:eastAsia="Times New Roman" w:hAnsi="Times New Roman" w:cs="Times New Roman"/>
          <w:color w:val="000000" w:themeColor="text1"/>
        </w:rPr>
        <w:t>Pacaux</w:t>
      </w:r>
      <w:proofErr w:type="spellEnd"/>
      <w:r>
        <w:rPr>
          <w:rFonts w:ascii="Times New Roman" w:eastAsia="Times New Roman" w:hAnsi="Times New Roman" w:cs="Times New Roman"/>
          <w:color w:val="000000" w:themeColor="text1"/>
        </w:rPr>
        <w:t>-Lemoine, M.-P., &amp;</w:t>
      </w:r>
      <w:proofErr w:type="spellStart"/>
      <w:r>
        <w:rPr>
          <w:rFonts w:ascii="Times New Roman" w:eastAsia="Times New Roman" w:hAnsi="Times New Roman" w:cs="Times New Roman"/>
          <w:color w:val="000000" w:themeColor="text1"/>
        </w:rPr>
        <w:t>Weßel</w:t>
      </w:r>
      <w:proofErr w:type="spellEnd"/>
      <w:r>
        <w:rPr>
          <w:rFonts w:ascii="Times New Roman" w:eastAsia="Times New Roman" w:hAnsi="Times New Roman" w:cs="Times New Roman"/>
          <w:color w:val="000000" w:themeColor="text1"/>
        </w:rPr>
        <w:t>, G. (2019). Joining the blunt and the pointy end of the spear: Towards a common framework of joint action, human–machine cooperation, cooperative guidance and control, shared, traded and supervisory control. Cognition, Technology &amp; Work, 21, 555–568.</w:t>
      </w:r>
      <w:hyperlink r:id="rId23" w:history="1">
        <w:r>
          <w:rPr>
            <w:rStyle w:val="Hyperlink"/>
            <w:rFonts w:ascii="Times New Roman" w:eastAsia="Times New Roman" w:hAnsi="Times New Roman" w:cs="Times New Roman"/>
          </w:rPr>
          <w:t>https://doi.org/10.1007/s10111-019-00576-1</w:t>
        </w:r>
      </w:hyperlink>
      <w:r>
        <w:rPr>
          <w:rFonts w:ascii="Times New Roman" w:eastAsia="Times New Roman" w:hAnsi="Times New Roman" w:cs="Times New Roman"/>
          <w:color w:val="000000" w:themeColor="text1"/>
          <w:bdr w:val="none" w:sz="0" w:space="0" w:color="auto" w:frame="1"/>
          <w:shd w:val="clear" w:color="auto" w:fill="C6C6C6"/>
        </w:rPr>
        <w:t> </w:t>
      </w:r>
    </w:p>
    <w:p w14:paraId="537C7892" w14:textId="77777777" w:rsidR="00C55492" w:rsidRPr="009C4D05" w:rsidRDefault="00C55492" w:rsidP="009C4D05">
      <w:pPr>
        <w:spacing w:after="0"/>
        <w:textAlignment w:val="baseline"/>
        <w:rPr>
          <w:rFonts w:ascii="Times New Roman" w:eastAsia="Times New Roman" w:hAnsi="Times New Roman" w:cs="Times New Roman"/>
          <w:color w:val="000000" w:themeColor="text1"/>
        </w:rPr>
      </w:pPr>
    </w:p>
    <w:p w14:paraId="692A6023" w14:textId="77777777" w:rsidR="009C4D05" w:rsidRPr="009C4D05" w:rsidRDefault="009C4D05" w:rsidP="009C4D05">
      <w:pPr>
        <w:spacing w:after="0"/>
        <w:textAlignment w:val="baseline"/>
      </w:pPr>
      <w:r>
        <w:rPr>
          <w:rFonts w:ascii="Times New Roman" w:eastAsia="Times New Roman" w:hAnsi="Times New Roman" w:cs="Times New Roman"/>
          <w:color w:val="000000" w:themeColor="text1"/>
        </w:rPr>
        <w:t>Glinton, R., Scerri, P., &amp;</w:t>
      </w:r>
      <w:proofErr w:type="spellStart"/>
      <w:r>
        <w:rPr>
          <w:rFonts w:ascii="Times New Roman" w:eastAsia="Times New Roman" w:hAnsi="Times New Roman" w:cs="Times New Roman"/>
          <w:color w:val="000000" w:themeColor="text1"/>
        </w:rPr>
        <w:t>Sycara</w:t>
      </w:r>
      <w:proofErr w:type="spellEnd"/>
      <w:r>
        <w:rPr>
          <w:rFonts w:ascii="Times New Roman" w:eastAsia="Times New Roman" w:hAnsi="Times New Roman" w:cs="Times New Roman"/>
          <w:color w:val="000000" w:themeColor="text1"/>
        </w:rPr>
        <w:t>, K. P. (2010). Exploiting scale invariant dynamics for efficient information propagation in large teams. In Proceedings of the 9th International Conference on Autonomous Agents and Multiagent Systems (AAMAS) (pp. 21–30).</w:t>
      </w:r>
      <w:r>
        <w:rPr>
          <w:rFonts w:ascii="Times New Roman" w:eastAsia="Times New Roman" w:hAnsi="Times New Roman" w:cs="Times New Roman"/>
          <w:color w:val="000000" w:themeColor="text1"/>
          <w:bdr w:val="none" w:sz="0" w:space="0" w:color="auto" w:frame="1"/>
          <w:shd w:val="clear" w:color="auto" w:fill="C6C6C6"/>
        </w:rPr>
        <w:t> </w:t>
      </w:r>
    </w:p>
    <w:p w14:paraId="19B71C86" w14:textId="77777777" w:rsidR="27B18DEF" w:rsidRDefault="27B18DEF" w:rsidP="27B18DEF">
      <w:pPr>
        <w:spacing w:after="0"/>
        <w:rPr>
          <w:rFonts w:ascii="Times New Roman" w:eastAsia="Times New Roman" w:hAnsi="Times New Roman" w:cs="Times New Roman"/>
          <w:color w:val="000000" w:themeColor="text1"/>
        </w:rPr>
      </w:pPr>
    </w:p>
    <w:p w14:paraId="20CDF32F" w14:textId="77777777"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t xml:space="preserve">Grimm, V., Berger, U., Bastiansen, F., Eliassen, S., Ginot, V., Giske, J., … DeAngelis, D. L. (2006). A standard protocol for describing individual-based and agent-based models. Ecological Modelling, 198(1–2), 115–126. </w:t>
      </w:r>
      <w:hyperlink r:id="rId24" w:history="1">
        <w:r>
          <w:rPr>
            <w:rStyle w:val="Hyperlink"/>
            <w:rFonts w:ascii="Times New Roman" w:eastAsia="Times New Roman" w:hAnsi="Times New Roman" w:cs="Times New Roman"/>
          </w:rPr>
          <w:t>https://doi.org/10.1016/j.ecolmodel.2006.04.023</w:t>
        </w:r>
      </w:hyperlink>
      <w:r>
        <w:rPr>
          <w:rFonts w:ascii="Times New Roman" w:eastAsia="Times New Roman" w:hAnsi="Times New Roman" w:cs="Times New Roman"/>
          <w:color w:val="000000" w:themeColor="text1"/>
          <w:bdr w:val="none" w:sz="0" w:space="0" w:color="auto" w:frame="1"/>
          <w:shd w:val="clear" w:color="auto" w:fill="C6C6C6"/>
        </w:rPr>
        <w:t> </w:t>
      </w:r>
    </w:p>
    <w:p w14:paraId="17F715E3" w14:textId="77777777" w:rsidR="00C55492" w:rsidRPr="009C4D05" w:rsidRDefault="00C55492" w:rsidP="009C4D05">
      <w:pPr>
        <w:spacing w:after="0"/>
        <w:textAlignment w:val="baseline"/>
        <w:rPr>
          <w:rFonts w:ascii="Times New Roman" w:eastAsia="Times New Roman" w:hAnsi="Times New Roman" w:cs="Times New Roman"/>
          <w:color w:val="000000" w:themeColor="text1"/>
        </w:rPr>
      </w:pPr>
    </w:p>
    <w:p w14:paraId="7D0F67B3"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Grimm, V., Railsback, S. F., Vincenot, C. E., Berger, U., Gallagher, C., DeAngelis, D. L., … Ayllón, D. (2020). The ODD protocol for describing agent-based and other simulation models: A second update to improve clarity, replication, and structural realism. Journal of Artificial Societies and Social Simulation, 23(2), 7. https://doi.org/10.18564/jasss.4259</w:t>
      </w:r>
      <w:r>
        <w:rPr>
          <w:rFonts w:ascii="Times New Roman" w:eastAsia="Times New Roman" w:hAnsi="Times New Roman" w:cs="Times New Roman"/>
          <w:color w:val="000000" w:themeColor="text1"/>
          <w:bdr w:val="none" w:sz="0" w:space="0" w:color="auto" w:frame="1"/>
          <w:shd w:val="clear" w:color="auto" w:fill="C6C6C6"/>
        </w:rPr>
        <w:t> </w:t>
      </w:r>
    </w:p>
    <w:p w14:paraId="530A2DBF" w14:textId="77777777" w:rsidR="00C55492" w:rsidRDefault="00C55492" w:rsidP="009C4D05">
      <w:pPr>
        <w:spacing w:after="0"/>
        <w:textAlignment w:val="baseline"/>
        <w:rPr>
          <w:rFonts w:ascii="Times New Roman" w:eastAsia="Times New Roman" w:hAnsi="Times New Roman" w:cs="Times New Roman"/>
          <w:color w:val="000000" w:themeColor="text1"/>
        </w:rPr>
      </w:pPr>
    </w:p>
    <w:p w14:paraId="4889CBA2"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Gutwin, C., &amp; Greenberg, S. (2004). The importance of awareness for team cognition in distributed collaboration. In E. Salas &amp; S. M. Fiore (Eds.), Team cognition: Understanding the factors that drive process and performance (pp. 177–201). American Psychological Association.</w:t>
      </w:r>
      <w:r>
        <w:rPr>
          <w:rFonts w:ascii="Times New Roman" w:eastAsia="Times New Roman" w:hAnsi="Times New Roman" w:cs="Times New Roman"/>
          <w:color w:val="000000" w:themeColor="text1"/>
          <w:bdr w:val="none" w:sz="0" w:space="0" w:color="auto" w:frame="1"/>
          <w:shd w:val="clear" w:color="auto" w:fill="C6C6C6"/>
        </w:rPr>
        <w:t> </w:t>
      </w:r>
    </w:p>
    <w:p w14:paraId="6955D81F" w14:textId="77777777" w:rsidR="009C4D05" w:rsidRDefault="009C4D05" w:rsidP="009C4D05">
      <w:pPr>
        <w:spacing w:after="0"/>
        <w:textAlignment w:val="baseline"/>
        <w:rPr>
          <w:rFonts w:ascii="Times New Roman" w:eastAsia="Times New Roman" w:hAnsi="Times New Roman" w:cs="Times New Roman"/>
          <w:color w:val="000000" w:themeColor="text1"/>
          <w:bdr w:val="none" w:sz="0" w:space="0" w:color="auto" w:frame="1"/>
          <w:shd w:val="clear" w:color="auto" w:fill="C6C6C6"/>
        </w:rPr>
      </w:pPr>
      <w:r>
        <w:rPr>
          <w:rFonts w:ascii="Times New Roman" w:eastAsia="Times New Roman" w:hAnsi="Times New Roman" w:cs="Times New Roman"/>
          <w:color w:val="000000" w:themeColor="text1"/>
        </w:rPr>
        <w:t>Hutchins, E. (1995). Cognition in the wild. Cambridge, MA: MIT Press.</w:t>
      </w:r>
      <w:r>
        <w:rPr>
          <w:rFonts w:ascii="Times New Roman" w:eastAsia="Times New Roman" w:hAnsi="Times New Roman" w:cs="Times New Roman"/>
          <w:color w:val="000000" w:themeColor="text1"/>
          <w:bdr w:val="none" w:sz="0" w:space="0" w:color="auto" w:frame="1"/>
          <w:shd w:val="clear" w:color="auto" w:fill="C6C6C6"/>
        </w:rPr>
        <w:t> </w:t>
      </w:r>
    </w:p>
    <w:p w14:paraId="1D510809" w14:textId="77777777" w:rsidR="006C102F" w:rsidRPr="009C4D05" w:rsidRDefault="006C102F" w:rsidP="009C4D05">
      <w:pPr>
        <w:spacing w:after="0"/>
        <w:textAlignment w:val="baseline"/>
        <w:rPr>
          <w:rFonts w:ascii="Times New Roman" w:eastAsia="Times New Roman" w:hAnsi="Times New Roman" w:cs="Times New Roman"/>
          <w:color w:val="000000" w:themeColor="text1"/>
        </w:rPr>
      </w:pPr>
    </w:p>
    <w:p w14:paraId="48AE14E4"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Kanno, T., Furuta, K., &amp; Kitahara, Y. (2013). A model of team cognition based on mutual beliefs. Theoretical Issues in Ergonomics Science, 14(1), 38–52. https://doi.org/10.1080/1464536X.2011.573010</w:t>
      </w:r>
      <w:r>
        <w:rPr>
          <w:rFonts w:ascii="Times New Roman" w:eastAsia="Times New Roman" w:hAnsi="Times New Roman" w:cs="Times New Roman"/>
          <w:color w:val="000000" w:themeColor="text1"/>
          <w:bdr w:val="none" w:sz="0" w:space="0" w:color="auto" w:frame="1"/>
          <w:shd w:val="clear" w:color="auto" w:fill="C6C6C6"/>
        </w:rPr>
        <w:t> </w:t>
      </w:r>
    </w:p>
    <w:p w14:paraId="59643D94" w14:textId="77777777" w:rsidR="006C102F" w:rsidRDefault="006C102F" w:rsidP="009C4D05">
      <w:pPr>
        <w:spacing w:after="0"/>
        <w:textAlignment w:val="baseline"/>
        <w:rPr>
          <w:rFonts w:ascii="Times New Roman" w:eastAsia="Times New Roman" w:hAnsi="Times New Roman" w:cs="Times New Roman"/>
          <w:color w:val="000000" w:themeColor="text1"/>
        </w:rPr>
      </w:pPr>
    </w:p>
    <w:p w14:paraId="759B2CEE"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Kosinski, M. (2024). Evaluating large language models in theory of mind tasks. Proceedings of the National Academy of Sciences, 121(45), e2405460121. https://doi.org/10.1073/pnas.2405460121</w:t>
      </w:r>
      <w:r>
        <w:rPr>
          <w:rFonts w:ascii="Times New Roman" w:eastAsia="Times New Roman" w:hAnsi="Times New Roman" w:cs="Times New Roman"/>
          <w:color w:val="000000" w:themeColor="text1"/>
          <w:bdr w:val="none" w:sz="0" w:space="0" w:color="auto" w:frame="1"/>
          <w:shd w:val="clear" w:color="auto" w:fill="C6C6C6"/>
        </w:rPr>
        <w:t> </w:t>
      </w:r>
    </w:p>
    <w:p w14:paraId="5D17A251" w14:textId="77777777" w:rsidR="006C102F" w:rsidRDefault="006C102F" w:rsidP="009C4D05">
      <w:pPr>
        <w:spacing w:after="0"/>
        <w:textAlignment w:val="baseline"/>
        <w:rPr>
          <w:rFonts w:ascii="Times New Roman" w:eastAsia="Times New Roman" w:hAnsi="Times New Roman" w:cs="Times New Roman"/>
          <w:color w:val="000000" w:themeColor="text1"/>
        </w:rPr>
      </w:pPr>
    </w:p>
    <w:p w14:paraId="6EBAE101" w14:textId="074F59D3"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Li, J., &amp; Xiao, R. (2017). Agent-based modelling approach for multidimensional opinion polarization in collective </w:t>
      </w:r>
      <w:proofErr w:type="spellStart"/>
      <w:r>
        <w:rPr>
          <w:rFonts w:ascii="Times New Roman" w:eastAsia="Times New Roman" w:hAnsi="Times New Roman" w:cs="Times New Roman"/>
          <w:color w:val="000000" w:themeColor="text1"/>
        </w:rPr>
        <w:t>behaviour</w:t>
      </w:r>
      <w:proofErr w:type="spellEnd"/>
      <w:r>
        <w:rPr>
          <w:rFonts w:ascii="Times New Roman" w:eastAsia="Times New Roman" w:hAnsi="Times New Roman" w:cs="Times New Roman"/>
          <w:color w:val="000000" w:themeColor="text1"/>
        </w:rPr>
        <w:t>. Journal of Artificial Societies and Social Simulation, 20(2), 4. https://doi.org/10.18564/jasss.3385</w:t>
      </w:r>
      <w:r>
        <w:rPr>
          <w:rFonts w:ascii="Times New Roman" w:eastAsia="Times New Roman" w:hAnsi="Times New Roman" w:cs="Times New Roman"/>
          <w:color w:val="000000" w:themeColor="text1"/>
          <w:bdr w:val="none" w:sz="0" w:space="0" w:color="auto" w:frame="1"/>
          <w:shd w:val="clear" w:color="auto" w:fill="C6C6C6"/>
        </w:rPr>
        <w:t> </w:t>
      </w:r>
    </w:p>
    <w:p w14:paraId="1256CC91" w14:textId="77777777" w:rsidR="006C102F" w:rsidRDefault="006C102F" w:rsidP="009C4D05">
      <w:pPr>
        <w:spacing w:after="0"/>
        <w:textAlignment w:val="baseline"/>
        <w:rPr>
          <w:rFonts w:ascii="Times New Roman" w:eastAsia="Times New Roman" w:hAnsi="Times New Roman" w:cs="Times New Roman"/>
          <w:color w:val="000000" w:themeColor="text1"/>
        </w:rPr>
      </w:pPr>
    </w:p>
    <w:p w14:paraId="26F28B0D"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proofErr w:type="spellStart"/>
      <w:r>
        <w:rPr>
          <w:rFonts w:ascii="Times New Roman" w:eastAsia="Times New Roman" w:hAnsi="Times New Roman" w:cs="Times New Roman"/>
          <w:color w:val="000000" w:themeColor="text1"/>
        </w:rPr>
        <w:t>Mahardhika</w:t>
      </w:r>
      <w:proofErr w:type="spellEnd"/>
      <w:r>
        <w:rPr>
          <w:rFonts w:ascii="Times New Roman" w:eastAsia="Times New Roman" w:hAnsi="Times New Roman" w:cs="Times New Roman"/>
          <w:color w:val="000000" w:themeColor="text1"/>
        </w:rPr>
        <w:t>, D., Kanno, T., &amp; Furuta, K. (2016). Team cognition model based on mutual beliefs and mental subgrouping. Journal of Interaction Science, 4, 1–10. https://doi.org/10.1186/s40166-016-0014-6</w:t>
      </w:r>
      <w:r>
        <w:rPr>
          <w:rFonts w:ascii="Times New Roman" w:eastAsia="Times New Roman" w:hAnsi="Times New Roman" w:cs="Times New Roman"/>
          <w:color w:val="000000" w:themeColor="text1"/>
          <w:bdr w:val="none" w:sz="0" w:space="0" w:color="auto" w:frame="1"/>
          <w:shd w:val="clear" w:color="auto" w:fill="C6C6C6"/>
        </w:rPr>
        <w:t> </w:t>
      </w:r>
    </w:p>
    <w:p w14:paraId="41CD4A4A" w14:textId="77777777" w:rsidR="006C102F" w:rsidRDefault="006C102F" w:rsidP="009C4D05">
      <w:pPr>
        <w:spacing w:after="0"/>
        <w:textAlignment w:val="baseline"/>
        <w:rPr>
          <w:rFonts w:ascii="Times New Roman" w:eastAsia="Times New Roman" w:hAnsi="Times New Roman" w:cs="Times New Roman"/>
          <w:color w:val="000000" w:themeColor="text1"/>
        </w:rPr>
      </w:pPr>
    </w:p>
    <w:p w14:paraId="7BA7C72E"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McNeese, M., Salas, E., &amp; Endsley, M. R. (Eds.). (2020). Foundations and theoretical perspectives of distributed team cognition. Boca Raton, FL: CRC Press.</w:t>
      </w:r>
      <w:r>
        <w:rPr>
          <w:rFonts w:ascii="Times New Roman" w:eastAsia="Times New Roman" w:hAnsi="Times New Roman" w:cs="Times New Roman"/>
          <w:color w:val="000000" w:themeColor="text1"/>
          <w:bdr w:val="none" w:sz="0" w:space="0" w:color="auto" w:frame="1"/>
          <w:shd w:val="clear" w:color="auto" w:fill="C6C6C6"/>
        </w:rPr>
        <w:t> </w:t>
      </w:r>
    </w:p>
    <w:p w14:paraId="6E9128CB" w14:textId="77777777" w:rsidR="006C102F" w:rsidRDefault="006C102F" w:rsidP="009C4D05">
      <w:pPr>
        <w:spacing w:after="0"/>
        <w:textAlignment w:val="baseline"/>
        <w:rPr>
          <w:rFonts w:ascii="Times New Roman" w:eastAsia="Times New Roman" w:hAnsi="Times New Roman" w:cs="Times New Roman"/>
          <w:color w:val="000000" w:themeColor="text1"/>
        </w:rPr>
      </w:pPr>
    </w:p>
    <w:p w14:paraId="51D6E1F7"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Mohammed, S., Hamilton, K., Tesler, R., Mancuso, V., &amp; McNeese, M. (2015). Time for temporal team mental models: Expanding beyond “what” and “how” to incorporate “when.” European Journal of Work and Organizational Psychology, 24(5), 693–709. https://doi.org/10.1080/1359432X.2015.1024664</w:t>
      </w:r>
      <w:r>
        <w:rPr>
          <w:rFonts w:ascii="Times New Roman" w:eastAsia="Times New Roman" w:hAnsi="Times New Roman" w:cs="Times New Roman"/>
          <w:color w:val="000000" w:themeColor="text1"/>
          <w:bdr w:val="none" w:sz="0" w:space="0" w:color="auto" w:frame="1"/>
          <w:shd w:val="clear" w:color="auto" w:fill="C6C6C6"/>
        </w:rPr>
        <w:t> </w:t>
      </w:r>
    </w:p>
    <w:p w14:paraId="3BA7A210" w14:textId="77777777" w:rsidR="006C102F" w:rsidRDefault="006C102F" w:rsidP="009C4D05">
      <w:pPr>
        <w:spacing w:after="0"/>
        <w:textAlignment w:val="baseline"/>
        <w:rPr>
          <w:rFonts w:ascii="Times New Roman" w:eastAsia="Times New Roman" w:hAnsi="Times New Roman" w:cs="Times New Roman"/>
          <w:color w:val="000000" w:themeColor="text1"/>
        </w:rPr>
      </w:pPr>
    </w:p>
    <w:p w14:paraId="290117C8"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Nelson, T. O., &amp; Narens, L. (1994). Why investigate metacognition. In J. Metcalfe &amp; A. P. Shimamura (Eds.), Metacognition: Knowing about knowing (pp. 1–25). Cambridge, MA: MIT Press.</w:t>
      </w:r>
      <w:r>
        <w:rPr>
          <w:rFonts w:ascii="Times New Roman" w:eastAsia="Times New Roman" w:hAnsi="Times New Roman" w:cs="Times New Roman"/>
          <w:color w:val="000000" w:themeColor="text1"/>
          <w:bdr w:val="none" w:sz="0" w:space="0" w:color="auto" w:frame="1"/>
          <w:shd w:val="clear" w:color="auto" w:fill="C6C6C6"/>
        </w:rPr>
        <w:t> </w:t>
      </w:r>
    </w:p>
    <w:p w14:paraId="29FA1093" w14:textId="77777777" w:rsidR="006C102F" w:rsidRDefault="006C102F" w:rsidP="009C4D05">
      <w:pPr>
        <w:spacing w:after="0"/>
        <w:textAlignment w:val="baseline"/>
        <w:rPr>
          <w:rFonts w:ascii="Times New Roman" w:eastAsia="Times New Roman" w:hAnsi="Times New Roman" w:cs="Times New Roman"/>
          <w:color w:val="000000" w:themeColor="text1"/>
        </w:rPr>
      </w:pPr>
    </w:p>
    <w:p w14:paraId="795AA4BA"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Newell, A. (1990). Unified theories of cognition. Cambridge, MA: Harvard University Press.</w:t>
      </w:r>
      <w:r>
        <w:rPr>
          <w:rFonts w:ascii="Times New Roman" w:eastAsia="Times New Roman" w:hAnsi="Times New Roman" w:cs="Times New Roman"/>
          <w:color w:val="000000" w:themeColor="text1"/>
          <w:bdr w:val="none" w:sz="0" w:space="0" w:color="auto" w:frame="1"/>
          <w:shd w:val="clear" w:color="auto" w:fill="C6C6C6"/>
        </w:rPr>
        <w:t> </w:t>
      </w:r>
    </w:p>
    <w:p w14:paraId="256E5ECB" w14:textId="77777777" w:rsidR="006C102F" w:rsidRDefault="006C102F" w:rsidP="009C4D05">
      <w:pPr>
        <w:spacing w:after="0"/>
        <w:textAlignment w:val="baseline"/>
        <w:rPr>
          <w:rFonts w:ascii="Times New Roman" w:eastAsia="Times New Roman" w:hAnsi="Times New Roman" w:cs="Times New Roman"/>
          <w:color w:val="000000" w:themeColor="text1"/>
        </w:rPr>
      </w:pPr>
    </w:p>
    <w:p w14:paraId="163768E4"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proofErr w:type="spellStart"/>
      <w:r>
        <w:rPr>
          <w:rFonts w:ascii="Times New Roman" w:eastAsia="Times New Roman" w:hAnsi="Times New Roman" w:cs="Times New Roman"/>
          <w:color w:val="000000" w:themeColor="text1"/>
        </w:rPr>
        <w:lastRenderedPageBreak/>
        <w:t>Nonose</w:t>
      </w:r>
      <w:proofErr w:type="spellEnd"/>
      <w:r>
        <w:rPr>
          <w:rFonts w:ascii="Times New Roman" w:eastAsia="Times New Roman" w:hAnsi="Times New Roman" w:cs="Times New Roman"/>
          <w:color w:val="000000" w:themeColor="text1"/>
        </w:rPr>
        <w:t>, K., Kanno, T., &amp; Furuta, K. (2010). An evaluation method of team situation awareness based on mutual belief. Cognition, Technology &amp; Work, 12, 31–40. https://doi.org/10.1007/s10111-008-0127-y</w:t>
      </w:r>
      <w:r>
        <w:rPr>
          <w:rFonts w:ascii="Times New Roman" w:eastAsia="Times New Roman" w:hAnsi="Times New Roman" w:cs="Times New Roman"/>
          <w:color w:val="000000" w:themeColor="text1"/>
          <w:bdr w:val="none" w:sz="0" w:space="0" w:color="auto" w:frame="1"/>
          <w:shd w:val="clear" w:color="auto" w:fill="C6C6C6"/>
        </w:rPr>
        <w:t> </w:t>
      </w:r>
    </w:p>
    <w:p w14:paraId="66BFAFD1" w14:textId="77777777" w:rsidR="006C102F" w:rsidRDefault="006C102F" w:rsidP="009C4D05">
      <w:pPr>
        <w:spacing w:after="0"/>
        <w:textAlignment w:val="baseline"/>
        <w:rPr>
          <w:rFonts w:ascii="Times New Roman" w:eastAsia="Times New Roman" w:hAnsi="Times New Roman" w:cs="Times New Roman"/>
          <w:color w:val="000000" w:themeColor="text1"/>
        </w:rPr>
      </w:pPr>
    </w:p>
    <w:p w14:paraId="62C8DF95"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proofErr w:type="spellStart"/>
      <w:r>
        <w:rPr>
          <w:rFonts w:ascii="Times New Roman" w:eastAsia="Times New Roman" w:hAnsi="Times New Roman" w:cs="Times New Roman"/>
          <w:color w:val="000000" w:themeColor="text1"/>
        </w:rPr>
        <w:t>Nonose</w:t>
      </w:r>
      <w:proofErr w:type="spellEnd"/>
      <w:r>
        <w:rPr>
          <w:rFonts w:ascii="Times New Roman" w:eastAsia="Times New Roman" w:hAnsi="Times New Roman" w:cs="Times New Roman"/>
          <w:color w:val="000000" w:themeColor="text1"/>
        </w:rPr>
        <w:t>, K., Kanno, T., &amp; Furuta, K. (2014). Effects of metacognition in cooperation on team behaviors. Cognition, Technology &amp; Work, 16, 349–358. https://doi.org/10.1007/s10111-013-0265-8</w:t>
      </w:r>
      <w:r>
        <w:rPr>
          <w:rFonts w:ascii="Times New Roman" w:eastAsia="Times New Roman" w:hAnsi="Times New Roman" w:cs="Times New Roman"/>
          <w:color w:val="000000" w:themeColor="text1"/>
          <w:bdr w:val="none" w:sz="0" w:space="0" w:color="auto" w:frame="1"/>
          <w:shd w:val="clear" w:color="auto" w:fill="C6C6C6"/>
        </w:rPr>
        <w:t> </w:t>
      </w:r>
    </w:p>
    <w:p w14:paraId="4F363E3B" w14:textId="77777777" w:rsidR="006C102F" w:rsidRDefault="006C102F" w:rsidP="009C4D05">
      <w:pPr>
        <w:spacing w:after="0"/>
        <w:textAlignment w:val="baseline"/>
        <w:rPr>
          <w:rFonts w:ascii="Times New Roman" w:eastAsia="Times New Roman" w:hAnsi="Times New Roman" w:cs="Times New Roman"/>
          <w:color w:val="000000" w:themeColor="text1"/>
        </w:rPr>
      </w:pPr>
    </w:p>
    <w:p w14:paraId="6EFE34DF" w14:textId="468D57D8"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Okabe, N., Kanno, T., Cho, S., Furuta, K., Yoshida, H., </w:t>
      </w:r>
      <w:proofErr w:type="spellStart"/>
      <w:r>
        <w:rPr>
          <w:rFonts w:ascii="Times New Roman" w:eastAsia="Times New Roman" w:hAnsi="Times New Roman" w:cs="Times New Roman"/>
          <w:color w:val="000000" w:themeColor="text1"/>
        </w:rPr>
        <w:t>Karikawa</w:t>
      </w:r>
      <w:proofErr w:type="spellEnd"/>
      <w:r>
        <w:rPr>
          <w:rFonts w:ascii="Times New Roman" w:eastAsia="Times New Roman" w:hAnsi="Times New Roman" w:cs="Times New Roman"/>
          <w:color w:val="000000" w:themeColor="text1"/>
        </w:rPr>
        <w:t xml:space="preserve">, D., </w:t>
      </w:r>
      <w:proofErr w:type="spellStart"/>
      <w:r>
        <w:rPr>
          <w:rFonts w:ascii="Times New Roman" w:eastAsia="Times New Roman" w:hAnsi="Times New Roman" w:cs="Times New Roman"/>
          <w:color w:val="000000" w:themeColor="text1"/>
        </w:rPr>
        <w:t>Nonose</w:t>
      </w:r>
      <w:proofErr w:type="spellEnd"/>
      <w:r>
        <w:rPr>
          <w:rFonts w:ascii="Times New Roman" w:eastAsia="Times New Roman" w:hAnsi="Times New Roman" w:cs="Times New Roman"/>
          <w:color w:val="000000" w:themeColor="text1"/>
        </w:rPr>
        <w:t>, K., &amp; Inoue, S. (2025). Modeling and simulation of three-person team cooperation considering mutual beliefs. Cognition, Technology &amp; Work, 27(1), 159–179. https://doi.org/10.1007/s10111-025-00791-z</w:t>
      </w:r>
      <w:r>
        <w:rPr>
          <w:rFonts w:ascii="Times New Roman" w:eastAsia="Times New Roman" w:hAnsi="Times New Roman" w:cs="Times New Roman"/>
          <w:color w:val="000000" w:themeColor="text1"/>
          <w:bdr w:val="none" w:sz="0" w:space="0" w:color="auto" w:frame="1"/>
          <w:shd w:val="clear" w:color="auto" w:fill="C6C6C6"/>
        </w:rPr>
        <w:t> </w:t>
      </w:r>
    </w:p>
    <w:p w14:paraId="293F4E3E" w14:textId="77777777" w:rsidR="006C102F" w:rsidRDefault="006C102F" w:rsidP="009C4D05">
      <w:pPr>
        <w:spacing w:after="0"/>
        <w:textAlignment w:val="baseline"/>
        <w:rPr>
          <w:rFonts w:ascii="Times New Roman" w:eastAsia="Times New Roman" w:hAnsi="Times New Roman" w:cs="Times New Roman"/>
          <w:color w:val="000000" w:themeColor="text1"/>
        </w:rPr>
      </w:pPr>
    </w:p>
    <w:p w14:paraId="7CA9647B"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Rousseau, R., Tremblay, S., &amp; Breton, R. (2004). Defining and modeling situation awareness: A critical review. In S. Banbury &amp; S. Tremblay (Eds.), A cognitive approach to situation awareness: Theory and application (pp. 3–21). Aldershot, UK: Ashgate.</w:t>
      </w:r>
      <w:r>
        <w:rPr>
          <w:rFonts w:ascii="Times New Roman" w:eastAsia="Times New Roman" w:hAnsi="Times New Roman" w:cs="Times New Roman"/>
          <w:color w:val="000000" w:themeColor="text1"/>
          <w:bdr w:val="none" w:sz="0" w:space="0" w:color="auto" w:frame="1"/>
          <w:shd w:val="clear" w:color="auto" w:fill="C6C6C6"/>
        </w:rPr>
        <w:t> </w:t>
      </w:r>
    </w:p>
    <w:p w14:paraId="0980B939" w14:textId="77777777" w:rsidR="006C102F" w:rsidRDefault="006C102F" w:rsidP="009C4D05">
      <w:pPr>
        <w:spacing w:after="0"/>
        <w:textAlignment w:val="baseline"/>
        <w:rPr>
          <w:rFonts w:ascii="Times New Roman" w:eastAsia="Times New Roman" w:hAnsi="Times New Roman" w:cs="Times New Roman"/>
          <w:color w:val="000000" w:themeColor="text1"/>
        </w:rPr>
      </w:pPr>
    </w:p>
    <w:p w14:paraId="2A4E80F9"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Salas, E., Cooke, N. J., &amp; Rosen, M. A. (2008). On teams, teamwork, and team performance: Discoveries and developments. Human Factors, 50(3), 540–547. https://doi.org/10.1518/001872008X288457</w:t>
      </w:r>
      <w:r>
        <w:rPr>
          <w:rFonts w:ascii="Times New Roman" w:eastAsia="Times New Roman" w:hAnsi="Times New Roman" w:cs="Times New Roman"/>
          <w:color w:val="000000" w:themeColor="text1"/>
          <w:bdr w:val="none" w:sz="0" w:space="0" w:color="auto" w:frame="1"/>
          <w:shd w:val="clear" w:color="auto" w:fill="C6C6C6"/>
        </w:rPr>
        <w:t> </w:t>
      </w:r>
    </w:p>
    <w:p w14:paraId="20B68BF4" w14:textId="77777777" w:rsidR="006C102F" w:rsidRDefault="006C102F" w:rsidP="009C4D05">
      <w:pPr>
        <w:spacing w:after="0"/>
        <w:textAlignment w:val="baseline"/>
        <w:rPr>
          <w:rFonts w:ascii="Times New Roman" w:eastAsia="Times New Roman" w:hAnsi="Times New Roman" w:cs="Times New Roman"/>
          <w:color w:val="000000" w:themeColor="text1"/>
        </w:rPr>
      </w:pPr>
    </w:p>
    <w:p w14:paraId="1623CBA9"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Salas, E., Fiore, S. M., &amp; Letsky, M. P. (Eds.). (2011). Theories of team cognition: Cross-disciplinary perspectives. New York: Routledge.</w:t>
      </w:r>
      <w:r>
        <w:rPr>
          <w:rFonts w:ascii="Times New Roman" w:eastAsia="Times New Roman" w:hAnsi="Times New Roman" w:cs="Times New Roman"/>
          <w:color w:val="000000" w:themeColor="text1"/>
          <w:bdr w:val="none" w:sz="0" w:space="0" w:color="auto" w:frame="1"/>
          <w:shd w:val="clear" w:color="auto" w:fill="C6C6C6"/>
        </w:rPr>
        <w:t> </w:t>
      </w:r>
    </w:p>
    <w:p w14:paraId="7648D8D3" w14:textId="77777777" w:rsidR="006C102F" w:rsidRDefault="006C102F" w:rsidP="009C4D05">
      <w:pPr>
        <w:spacing w:after="0"/>
        <w:textAlignment w:val="baseline"/>
        <w:rPr>
          <w:rFonts w:ascii="Times New Roman" w:eastAsia="Times New Roman" w:hAnsi="Times New Roman" w:cs="Times New Roman"/>
          <w:color w:val="000000" w:themeColor="text1"/>
        </w:rPr>
      </w:pPr>
    </w:p>
    <w:p w14:paraId="63B30CF6"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Schelble, B. G., Flathmann, C., McNeese, N. J., O’Neill, T., Pak, R., &amp; Namara, M. (2023). Investigating the effects of perceived teammate artificiality on human performance and cognition. International Journal of Human–Computer Interaction, 39(13), 2686–2701. https://doi.org/10.1080/10447318.2022.2085191</w:t>
      </w:r>
      <w:r>
        <w:rPr>
          <w:rFonts w:ascii="Times New Roman" w:eastAsia="Times New Roman" w:hAnsi="Times New Roman" w:cs="Times New Roman"/>
          <w:color w:val="000000" w:themeColor="text1"/>
          <w:bdr w:val="none" w:sz="0" w:space="0" w:color="auto" w:frame="1"/>
          <w:shd w:val="clear" w:color="auto" w:fill="C6C6C6"/>
        </w:rPr>
        <w:t> </w:t>
      </w:r>
    </w:p>
    <w:p w14:paraId="67053260" w14:textId="77777777" w:rsidR="006C102F" w:rsidRDefault="006C102F" w:rsidP="009C4D05">
      <w:pPr>
        <w:spacing w:after="0"/>
        <w:textAlignment w:val="baseline"/>
        <w:rPr>
          <w:rFonts w:ascii="Times New Roman" w:eastAsia="Times New Roman" w:hAnsi="Times New Roman" w:cs="Times New Roman"/>
          <w:color w:val="000000" w:themeColor="text1"/>
        </w:rPr>
      </w:pPr>
    </w:p>
    <w:p w14:paraId="4D6A7420"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She, M., &amp; Li, Z. (2017). Team situation awareness: A review of definitions and conceptual models. In D. Harris (Ed.), Engineering psychology and cognitive ergonomics: Performance, emotion and situation awareness (EPCE 2017), Lecture Notes in Computer Science, vol. 10275 (pp. 406–415). Cham: Springer. https://doi.org/10.1007/978-3-319-58472-0_31</w:t>
      </w:r>
      <w:r>
        <w:rPr>
          <w:rFonts w:ascii="Times New Roman" w:eastAsia="Times New Roman" w:hAnsi="Times New Roman" w:cs="Times New Roman"/>
          <w:color w:val="000000" w:themeColor="text1"/>
          <w:bdr w:val="none" w:sz="0" w:space="0" w:color="auto" w:frame="1"/>
          <w:shd w:val="clear" w:color="auto" w:fill="C6C6C6"/>
        </w:rPr>
        <w:t> </w:t>
      </w:r>
    </w:p>
    <w:p w14:paraId="07F5D502" w14:textId="77777777" w:rsidR="006C102F" w:rsidRDefault="006C102F" w:rsidP="009C4D05">
      <w:pPr>
        <w:spacing w:after="0"/>
        <w:textAlignment w:val="baseline"/>
        <w:rPr>
          <w:rFonts w:ascii="Times New Roman" w:eastAsia="Times New Roman" w:hAnsi="Times New Roman" w:cs="Times New Roman"/>
          <w:color w:val="000000" w:themeColor="text1"/>
        </w:rPr>
      </w:pPr>
    </w:p>
    <w:p w14:paraId="7CF957FC" w14:textId="77777777" w:rsidR="009C4D05" w:rsidRPr="009C4D05" w:rsidRDefault="009C4D05" w:rsidP="009C4D05">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Tuomela, R., &amp; Miller, K. (1988). We-intentions. Philosophical Studies, 53, 367–389. https://doi.org/10.1007/BF00353512</w:t>
      </w:r>
      <w:r>
        <w:rPr>
          <w:rFonts w:ascii="Times New Roman" w:eastAsia="Times New Roman" w:hAnsi="Times New Roman" w:cs="Times New Roman"/>
          <w:color w:val="000000" w:themeColor="text1"/>
          <w:bdr w:val="none" w:sz="0" w:space="0" w:color="auto" w:frame="1"/>
          <w:shd w:val="clear" w:color="auto" w:fill="C6C6C6"/>
        </w:rPr>
        <w:t> </w:t>
      </w:r>
    </w:p>
    <w:p w14:paraId="04B14979" w14:textId="77777777" w:rsidR="006C102F" w:rsidRDefault="006C102F" w:rsidP="009C4D05">
      <w:pPr>
        <w:spacing w:after="0"/>
        <w:textAlignment w:val="baseline"/>
        <w:rPr>
          <w:rFonts w:ascii="Times New Roman" w:eastAsia="Times New Roman" w:hAnsi="Times New Roman" w:cs="Times New Roman"/>
          <w:color w:val="000000" w:themeColor="text1"/>
        </w:rPr>
      </w:pPr>
    </w:p>
    <w:p w14:paraId="205C623A" w14:textId="77777777" w:rsidR="006C102F" w:rsidRDefault="009C4D05" w:rsidP="006C102F">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Wright, J. L., Chen, J. Y. C., Barnes, M. J., &amp; Boyce, M. W. (2015). The effects of information level on human–agent interaction for route planning. Proceedings of the Human Factors and Ergonomics Society Annual Meeting, 59(1), 811–815. </w:t>
      </w:r>
    </w:p>
    <w:p w14:paraId="1331188D" w14:textId="77777777" w:rsidR="009C4D05" w:rsidRPr="009C4D05" w:rsidRDefault="009C4D05" w:rsidP="006C102F">
      <w:pPr>
        <w:spacing w:after="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https://doi.org/10.1177/1541931215591247</w:t>
      </w:r>
    </w:p>
    <w:p w14:paraId="5D8785A7" w14:textId="77777777" w:rsidR="009C4D05" w:rsidRPr="009C4D05" w:rsidRDefault="009C4D05" w:rsidP="009C4D05">
      <w:pPr>
        <w:pStyle w:val="Abstract"/>
        <w:rPr>
          <w:rFonts w:ascii="Times New Roman" w:hAnsi="Times New Roman" w:cs="Times New Roman"/>
          <w:color w:val="000000" w:themeColor="text1"/>
          <w:sz w:val="24"/>
          <w:szCs w:val="24"/>
        </w:rPr>
      </w:pPr>
    </w:p>
    <w:sectPr w:rsidR="009C4D05" w:rsidRPr="009C4D05">
      <w:footerReference w:type="default" r:id="rId2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F9419" w14:textId="77777777" w:rsidR="00A41E48" w:rsidRDefault="00A41E48">
      <w:pPr>
        <w:spacing w:after="0"/>
      </w:pPr>
      <w:r>
        <w:separator/>
      </w:r>
    </w:p>
  </w:endnote>
  <w:endnote w:type="continuationSeparator" w:id="0">
    <w:p w14:paraId="1B8BDA85" w14:textId="77777777" w:rsidR="00A41E48" w:rsidRDefault="00A41E4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786099"/>
      <w:docPartObj>
        <w:docPartGallery w:val="Page Numbers (Bottom of Page)"/>
        <w:docPartUnique/>
      </w:docPartObj>
    </w:sdtPr>
    <w:sdtEndPr>
      <w:rPr>
        <w:noProof/>
      </w:rPr>
    </w:sdtEndPr>
    <w:sdtContent>
      <w:p w14:paraId="7567FFCC" w14:textId="4A26C334" w:rsidR="00170F02" w:rsidRDefault="00170F0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72A617" w14:textId="77777777" w:rsidR="00170F02" w:rsidRDefault="00170F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617F9" w14:textId="77777777" w:rsidR="00A41E48" w:rsidRDefault="00A41E48">
      <w:r>
        <w:separator/>
      </w:r>
    </w:p>
  </w:footnote>
  <w:footnote w:type="continuationSeparator" w:id="0">
    <w:p w14:paraId="0799F325" w14:textId="77777777" w:rsidR="00A41E48" w:rsidRDefault="00A41E48">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NJYdto1pY0URPg" int2:id="mCE5boY2">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29C7EC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1841A6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4661DC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6324CF0"/>
    <w:multiLevelType w:val="hybridMultilevel"/>
    <w:tmpl w:val="D4CC14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ABF440A"/>
    <w:multiLevelType w:val="hybridMultilevel"/>
    <w:tmpl w:val="CA0259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E74283"/>
    <w:multiLevelType w:val="multilevel"/>
    <w:tmpl w:val="B02887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EB0E8F"/>
    <w:multiLevelType w:val="multilevel"/>
    <w:tmpl w:val="6B74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22638EE"/>
    <w:multiLevelType w:val="multilevel"/>
    <w:tmpl w:val="714A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3015686"/>
    <w:multiLevelType w:val="hybridMultilevel"/>
    <w:tmpl w:val="2688A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2A72A1"/>
    <w:multiLevelType w:val="multilevel"/>
    <w:tmpl w:val="B276D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217521"/>
    <w:multiLevelType w:val="multilevel"/>
    <w:tmpl w:val="A2DEC0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DE4E3E"/>
    <w:multiLevelType w:val="multilevel"/>
    <w:tmpl w:val="BD10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82293209">
    <w:abstractNumId w:val="0"/>
  </w:num>
  <w:num w:numId="2" w16cid:durableId="1793205993">
    <w:abstractNumId w:val="1"/>
  </w:num>
  <w:num w:numId="3" w16cid:durableId="3873394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08633134">
    <w:abstractNumId w:val="11"/>
  </w:num>
  <w:num w:numId="5" w16cid:durableId="470100028">
    <w:abstractNumId w:val="7"/>
  </w:num>
  <w:num w:numId="6" w16cid:durableId="71392091">
    <w:abstractNumId w:val="6"/>
  </w:num>
  <w:num w:numId="7" w16cid:durableId="1702591739">
    <w:abstractNumId w:val="9"/>
  </w:num>
  <w:num w:numId="8" w16cid:durableId="1351108212">
    <w:abstractNumId w:val="10"/>
  </w:num>
  <w:num w:numId="9" w16cid:durableId="1122267081">
    <w:abstractNumId w:val="5"/>
  </w:num>
  <w:num w:numId="10" w16cid:durableId="1621108531">
    <w:abstractNumId w:val="3"/>
  </w:num>
  <w:num w:numId="11" w16cid:durableId="1537237951">
    <w:abstractNumId w:val="8"/>
  </w:num>
  <w:num w:numId="12" w16cid:durableId="21174095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329"/>
    <w:rsid w:val="00005E57"/>
    <w:rsid w:val="00013640"/>
    <w:rsid w:val="0004111C"/>
    <w:rsid w:val="00095F95"/>
    <w:rsid w:val="000D1B10"/>
    <w:rsid w:val="000D3FC9"/>
    <w:rsid w:val="000D6252"/>
    <w:rsid w:val="00111659"/>
    <w:rsid w:val="00115272"/>
    <w:rsid w:val="00131F24"/>
    <w:rsid w:val="00146D2D"/>
    <w:rsid w:val="001477C6"/>
    <w:rsid w:val="001503B1"/>
    <w:rsid w:val="001660E6"/>
    <w:rsid w:val="00170F02"/>
    <w:rsid w:val="001A33B1"/>
    <w:rsid w:val="001F6BDC"/>
    <w:rsid w:val="0020530E"/>
    <w:rsid w:val="002229A3"/>
    <w:rsid w:val="00256DB5"/>
    <w:rsid w:val="0029015F"/>
    <w:rsid w:val="002B7312"/>
    <w:rsid w:val="002C0313"/>
    <w:rsid w:val="002D43E5"/>
    <w:rsid w:val="002D63D6"/>
    <w:rsid w:val="002E2D33"/>
    <w:rsid w:val="002F0543"/>
    <w:rsid w:val="00304AAE"/>
    <w:rsid w:val="00351910"/>
    <w:rsid w:val="003730EC"/>
    <w:rsid w:val="003818F4"/>
    <w:rsid w:val="00393B93"/>
    <w:rsid w:val="003A2151"/>
    <w:rsid w:val="003D2A01"/>
    <w:rsid w:val="003D69C3"/>
    <w:rsid w:val="003E4689"/>
    <w:rsid w:val="003E7A5D"/>
    <w:rsid w:val="004229F3"/>
    <w:rsid w:val="004607FB"/>
    <w:rsid w:val="004A5778"/>
    <w:rsid w:val="004D274E"/>
    <w:rsid w:val="004D2F12"/>
    <w:rsid w:val="004D4AF5"/>
    <w:rsid w:val="00573302"/>
    <w:rsid w:val="005C4C1D"/>
    <w:rsid w:val="005E30A9"/>
    <w:rsid w:val="005E4F5B"/>
    <w:rsid w:val="0061163F"/>
    <w:rsid w:val="00615E1A"/>
    <w:rsid w:val="00653AF2"/>
    <w:rsid w:val="0067136C"/>
    <w:rsid w:val="00684397"/>
    <w:rsid w:val="006926FD"/>
    <w:rsid w:val="006C0608"/>
    <w:rsid w:val="006C102F"/>
    <w:rsid w:val="00717283"/>
    <w:rsid w:val="0073143F"/>
    <w:rsid w:val="007519F6"/>
    <w:rsid w:val="007772E1"/>
    <w:rsid w:val="007956A5"/>
    <w:rsid w:val="007B7B89"/>
    <w:rsid w:val="007C3418"/>
    <w:rsid w:val="00800750"/>
    <w:rsid w:val="00802FE9"/>
    <w:rsid w:val="008101F0"/>
    <w:rsid w:val="008116AB"/>
    <w:rsid w:val="00815CB3"/>
    <w:rsid w:val="00823329"/>
    <w:rsid w:val="008676B7"/>
    <w:rsid w:val="008714C8"/>
    <w:rsid w:val="0087791C"/>
    <w:rsid w:val="008826D1"/>
    <w:rsid w:val="0089722D"/>
    <w:rsid w:val="008B60B5"/>
    <w:rsid w:val="008D0A88"/>
    <w:rsid w:val="008D2DD9"/>
    <w:rsid w:val="008D6046"/>
    <w:rsid w:val="00921D29"/>
    <w:rsid w:val="00960AF7"/>
    <w:rsid w:val="00975A01"/>
    <w:rsid w:val="009875D3"/>
    <w:rsid w:val="00996283"/>
    <w:rsid w:val="009A115C"/>
    <w:rsid w:val="009C4D05"/>
    <w:rsid w:val="009C5498"/>
    <w:rsid w:val="009C7B46"/>
    <w:rsid w:val="00A23250"/>
    <w:rsid w:val="00A41E48"/>
    <w:rsid w:val="00A55AB0"/>
    <w:rsid w:val="00A62B49"/>
    <w:rsid w:val="00A76CAC"/>
    <w:rsid w:val="00AE21BC"/>
    <w:rsid w:val="00AE723C"/>
    <w:rsid w:val="00AF4D79"/>
    <w:rsid w:val="00B26771"/>
    <w:rsid w:val="00B53439"/>
    <w:rsid w:val="00B82E5B"/>
    <w:rsid w:val="00BA7E9A"/>
    <w:rsid w:val="00BC7761"/>
    <w:rsid w:val="00C55492"/>
    <w:rsid w:val="00C648C4"/>
    <w:rsid w:val="00C74BAD"/>
    <w:rsid w:val="00CB30E1"/>
    <w:rsid w:val="00D0674D"/>
    <w:rsid w:val="00D06AD1"/>
    <w:rsid w:val="00D1189E"/>
    <w:rsid w:val="00D20508"/>
    <w:rsid w:val="00D230FF"/>
    <w:rsid w:val="00D33C5A"/>
    <w:rsid w:val="00D5243B"/>
    <w:rsid w:val="00D87B1D"/>
    <w:rsid w:val="00DA3A84"/>
    <w:rsid w:val="00DB5F11"/>
    <w:rsid w:val="00E00502"/>
    <w:rsid w:val="00E2350A"/>
    <w:rsid w:val="00E7395A"/>
    <w:rsid w:val="00E93CBC"/>
    <w:rsid w:val="00EB76BC"/>
    <w:rsid w:val="00EF4963"/>
    <w:rsid w:val="00EF56D2"/>
    <w:rsid w:val="00F01224"/>
    <w:rsid w:val="00F02D6F"/>
    <w:rsid w:val="00F30EA0"/>
    <w:rsid w:val="00F50176"/>
    <w:rsid w:val="00F85E83"/>
    <w:rsid w:val="00FC51E2"/>
    <w:rsid w:val="00FD15D4"/>
    <w:rsid w:val="0621D156"/>
    <w:rsid w:val="06425107"/>
    <w:rsid w:val="068E06A8"/>
    <w:rsid w:val="073D4096"/>
    <w:rsid w:val="0768F7C8"/>
    <w:rsid w:val="07FF7FB8"/>
    <w:rsid w:val="08CE6678"/>
    <w:rsid w:val="0E4E970E"/>
    <w:rsid w:val="108B062E"/>
    <w:rsid w:val="111280A7"/>
    <w:rsid w:val="17347DC9"/>
    <w:rsid w:val="17920A0E"/>
    <w:rsid w:val="17B132FF"/>
    <w:rsid w:val="194FF850"/>
    <w:rsid w:val="19740B75"/>
    <w:rsid w:val="19819BFF"/>
    <w:rsid w:val="19D66CB3"/>
    <w:rsid w:val="1B250EC4"/>
    <w:rsid w:val="1B9C462F"/>
    <w:rsid w:val="1F0FECF7"/>
    <w:rsid w:val="20932569"/>
    <w:rsid w:val="20D2474B"/>
    <w:rsid w:val="22557085"/>
    <w:rsid w:val="22B06E5A"/>
    <w:rsid w:val="24334DC4"/>
    <w:rsid w:val="247DC902"/>
    <w:rsid w:val="24A7C28B"/>
    <w:rsid w:val="279AEABF"/>
    <w:rsid w:val="27A4BF42"/>
    <w:rsid w:val="27B18DEF"/>
    <w:rsid w:val="2819D133"/>
    <w:rsid w:val="28316EF2"/>
    <w:rsid w:val="284CA356"/>
    <w:rsid w:val="29A32629"/>
    <w:rsid w:val="2A2C5CC7"/>
    <w:rsid w:val="2A2E48AF"/>
    <w:rsid w:val="2B89A0C3"/>
    <w:rsid w:val="2CFD4B30"/>
    <w:rsid w:val="2F54844B"/>
    <w:rsid w:val="30778443"/>
    <w:rsid w:val="308D9AE2"/>
    <w:rsid w:val="317EF2C3"/>
    <w:rsid w:val="31A5508F"/>
    <w:rsid w:val="345C6127"/>
    <w:rsid w:val="35CC8709"/>
    <w:rsid w:val="3683C065"/>
    <w:rsid w:val="36AEB154"/>
    <w:rsid w:val="36B40050"/>
    <w:rsid w:val="36E6F8BB"/>
    <w:rsid w:val="371087AD"/>
    <w:rsid w:val="3A84EA06"/>
    <w:rsid w:val="3B1B6903"/>
    <w:rsid w:val="3B1C4E54"/>
    <w:rsid w:val="3D8D6DAE"/>
    <w:rsid w:val="3DC41E66"/>
    <w:rsid w:val="3DFFF4B3"/>
    <w:rsid w:val="3F61F100"/>
    <w:rsid w:val="425F6F10"/>
    <w:rsid w:val="42B0D051"/>
    <w:rsid w:val="42F76309"/>
    <w:rsid w:val="457EA478"/>
    <w:rsid w:val="45B45E92"/>
    <w:rsid w:val="4707B6A3"/>
    <w:rsid w:val="47AC4485"/>
    <w:rsid w:val="47B48B38"/>
    <w:rsid w:val="4A97A49E"/>
    <w:rsid w:val="4CC20082"/>
    <w:rsid w:val="4CE0F296"/>
    <w:rsid w:val="4E599F56"/>
    <w:rsid w:val="4EA60E37"/>
    <w:rsid w:val="522C4148"/>
    <w:rsid w:val="554C33EB"/>
    <w:rsid w:val="56E3A222"/>
    <w:rsid w:val="5782A5C8"/>
    <w:rsid w:val="5838F1D7"/>
    <w:rsid w:val="589FA51C"/>
    <w:rsid w:val="591C25A2"/>
    <w:rsid w:val="5947FA7E"/>
    <w:rsid w:val="5A72D7A3"/>
    <w:rsid w:val="5A76E616"/>
    <w:rsid w:val="5C486A69"/>
    <w:rsid w:val="5CA093F4"/>
    <w:rsid w:val="5CA4943C"/>
    <w:rsid w:val="5CF62024"/>
    <w:rsid w:val="5FEB20D6"/>
    <w:rsid w:val="6099C893"/>
    <w:rsid w:val="6149310C"/>
    <w:rsid w:val="61891198"/>
    <w:rsid w:val="62A31660"/>
    <w:rsid w:val="63788D4A"/>
    <w:rsid w:val="64054ACC"/>
    <w:rsid w:val="64AA3C57"/>
    <w:rsid w:val="6501E5E2"/>
    <w:rsid w:val="650783CE"/>
    <w:rsid w:val="6507EAB2"/>
    <w:rsid w:val="66026443"/>
    <w:rsid w:val="679226D2"/>
    <w:rsid w:val="67E94EC8"/>
    <w:rsid w:val="6A0A4832"/>
    <w:rsid w:val="6AA0CCE5"/>
    <w:rsid w:val="6B6B622A"/>
    <w:rsid w:val="6BF8D24D"/>
    <w:rsid w:val="6C2533D7"/>
    <w:rsid w:val="6DA4D6A4"/>
    <w:rsid w:val="6FF5288D"/>
    <w:rsid w:val="708D1251"/>
    <w:rsid w:val="71C3E6C7"/>
    <w:rsid w:val="7493B6BC"/>
    <w:rsid w:val="74B7B888"/>
    <w:rsid w:val="74D2586A"/>
    <w:rsid w:val="75886607"/>
    <w:rsid w:val="75C6F97A"/>
    <w:rsid w:val="7629B609"/>
    <w:rsid w:val="76A7CF2A"/>
    <w:rsid w:val="772430BA"/>
    <w:rsid w:val="79B6288E"/>
    <w:rsid w:val="7AC36955"/>
    <w:rsid w:val="7AC5D6CA"/>
    <w:rsid w:val="7AE7328D"/>
    <w:rsid w:val="7B66BF7D"/>
    <w:rsid w:val="7B923288"/>
    <w:rsid w:val="7C242A92"/>
    <w:rsid w:val="7D2A9A62"/>
    <w:rsid w:val="7D3609A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4CC38"/>
  <w15:docId w15:val="{39CC44E0-71AD-46E2-BCB8-76B9FE3B4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Hyperlink" w:uiPriority="99"/>
    <w:lsdException w:name="Followed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5C4C1D"/>
    <w:rPr>
      <w:color w:val="605E5C"/>
      <w:shd w:val="clear" w:color="auto" w:fill="E1DFDD"/>
    </w:rPr>
  </w:style>
  <w:style w:type="paragraph" w:customStyle="1" w:styleId="msonormal0">
    <w:name w:val="msonormal"/>
    <w:basedOn w:val="Normal"/>
    <w:rsid w:val="009C4D05"/>
    <w:pPr>
      <w:spacing w:before="100" w:beforeAutospacing="1" w:after="100" w:afterAutospacing="1"/>
    </w:pPr>
    <w:rPr>
      <w:rFonts w:ascii="Times New Roman" w:eastAsia="Times New Roman" w:hAnsi="Times New Roman" w:cs="Times New Roman"/>
    </w:rPr>
  </w:style>
  <w:style w:type="paragraph" w:customStyle="1" w:styleId="paragraph">
    <w:name w:val="paragraph"/>
    <w:basedOn w:val="Normal"/>
    <w:rsid w:val="009C4D05"/>
    <w:pPr>
      <w:spacing w:before="100" w:beforeAutospacing="1" w:after="100" w:afterAutospacing="1"/>
    </w:pPr>
    <w:rPr>
      <w:rFonts w:ascii="Times New Roman" w:eastAsia="Times New Roman" w:hAnsi="Times New Roman" w:cs="Times New Roman"/>
    </w:rPr>
  </w:style>
  <w:style w:type="character" w:customStyle="1" w:styleId="textrun">
    <w:name w:val="textrun"/>
    <w:basedOn w:val="DefaultParagraphFont"/>
    <w:rsid w:val="009C4D05"/>
  </w:style>
  <w:style w:type="character" w:customStyle="1" w:styleId="normaltextrun">
    <w:name w:val="normaltextrun"/>
    <w:basedOn w:val="DefaultParagraphFont"/>
    <w:rsid w:val="009C4D05"/>
  </w:style>
  <w:style w:type="character" w:customStyle="1" w:styleId="eop">
    <w:name w:val="eop"/>
    <w:basedOn w:val="DefaultParagraphFont"/>
    <w:rsid w:val="009C4D05"/>
  </w:style>
  <w:style w:type="character" w:customStyle="1" w:styleId="linebreakblob">
    <w:name w:val="linebreakblob"/>
    <w:basedOn w:val="DefaultParagraphFont"/>
    <w:rsid w:val="009C4D05"/>
  </w:style>
  <w:style w:type="character" w:customStyle="1" w:styleId="scxw176636369">
    <w:name w:val="scxw176636369"/>
    <w:basedOn w:val="DefaultParagraphFont"/>
    <w:rsid w:val="009C4D05"/>
  </w:style>
  <w:style w:type="character" w:customStyle="1" w:styleId="wacimagecontainer">
    <w:name w:val="wacimagecontainer"/>
    <w:basedOn w:val="DefaultParagraphFont"/>
    <w:rsid w:val="009C4D05"/>
  </w:style>
  <w:style w:type="paragraph" w:customStyle="1" w:styleId="outlineelement">
    <w:name w:val="outlineelement"/>
    <w:basedOn w:val="Normal"/>
    <w:rsid w:val="009C4D05"/>
    <w:pPr>
      <w:spacing w:before="100" w:beforeAutospacing="1" w:after="100" w:afterAutospacing="1"/>
    </w:pPr>
    <w:rPr>
      <w:rFonts w:ascii="Times New Roman" w:eastAsia="Times New Roman" w:hAnsi="Times New Roman" w:cs="Times New Roman"/>
    </w:rPr>
  </w:style>
  <w:style w:type="character" w:styleId="FollowedHyperlink">
    <w:name w:val="FollowedHyperlink"/>
    <w:basedOn w:val="DefaultParagraphFont"/>
    <w:uiPriority w:val="99"/>
    <w:unhideWhenUsed/>
    <w:rsid w:val="009C4D05"/>
    <w:rPr>
      <w:color w:val="800080"/>
      <w:u w:val="single"/>
    </w:rPr>
  </w:style>
  <w:style w:type="paragraph" w:styleId="ListParagraph">
    <w:name w:val="List Paragraph"/>
    <w:basedOn w:val="Normal"/>
    <w:rsid w:val="009C4D05"/>
    <w:pPr>
      <w:ind w:left="720"/>
      <w:contextualSpacing/>
    </w:pPr>
  </w:style>
  <w:style w:type="table" w:styleId="TableGrid">
    <w:name w:val="Table Grid"/>
    <w:basedOn w:val="TableNormal"/>
    <w:rsid w:val="00802FE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70F02"/>
    <w:pPr>
      <w:tabs>
        <w:tab w:val="center" w:pos="4680"/>
        <w:tab w:val="right" w:pos="9360"/>
      </w:tabs>
      <w:spacing w:after="0"/>
    </w:pPr>
  </w:style>
  <w:style w:type="character" w:customStyle="1" w:styleId="HeaderChar">
    <w:name w:val="Header Char"/>
    <w:basedOn w:val="DefaultParagraphFont"/>
    <w:link w:val="Header"/>
    <w:rsid w:val="00170F02"/>
  </w:style>
  <w:style w:type="paragraph" w:styleId="Footer">
    <w:name w:val="footer"/>
    <w:basedOn w:val="Normal"/>
    <w:link w:val="FooterChar"/>
    <w:uiPriority w:val="99"/>
    <w:rsid w:val="00170F02"/>
    <w:pPr>
      <w:tabs>
        <w:tab w:val="center" w:pos="4680"/>
        <w:tab w:val="right" w:pos="9360"/>
      </w:tabs>
      <w:spacing w:after="0"/>
    </w:pPr>
  </w:style>
  <w:style w:type="character" w:customStyle="1" w:styleId="FooterChar">
    <w:name w:val="Footer Char"/>
    <w:basedOn w:val="DefaultParagraphFont"/>
    <w:link w:val="Footer"/>
    <w:uiPriority w:val="99"/>
    <w:rsid w:val="00170F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github.com/rkallur2/substrate-heterogeneity"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oi.org/10.1111/cogs.12009"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doi.org/10.1518/00187200077965656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1016/j.ecolmodel.2006.04.023"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i.org/10.1007/s10111-019-00576-1" TargetMode="External"/><Relationship Id="rId28" Type="http://schemas.microsoft.com/office/2020/10/relationships/intelligence" Target="intelligence2.xml"/><Relationship Id="rId10" Type="http://schemas.openxmlformats.org/officeDocument/2006/relationships/image" Target="media/image4.png"/><Relationship Id="rId19" Type="http://schemas.openxmlformats.org/officeDocument/2006/relationships/hyperlink" Target="https://doi.org/10.1155/2022/8265296"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1177/1059712316661395"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7893ce20-a697-4fd6-a4da-14011f6a471d}" enabled="1" method="Standard" siteId="{a8eec281-aaa3-4dae-ac9b-9a398b9215e7}"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36</Pages>
  <Words>14930</Words>
  <Characters>85101</Characters>
  <Application>Microsoft Office Word</Application>
  <DocSecurity>0</DocSecurity>
  <Lines>709</Lines>
  <Paragraphs>199</Paragraphs>
  <ScaleCrop>false</ScaleCrop>
  <Company/>
  <LinksUpToDate>false</LinksUpToDate>
  <CharactersWithSpaces>99832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Forces of Substrate Heterogeneity: Sensitivity Gain and Quality Loss in Multi-Agent Cooperative Diagnosis</dc:title>
  <dc:creator>Ravikiran Kalluri¹;Taro Kanno²</dc:creator>
  <cp:keywords/>
  <cp:lastModifiedBy>Ravi Kalluri</cp:lastModifiedBy>
  <cp:revision>2</cp:revision>
  <dcterms:created xsi:type="dcterms:W3CDTF">2026-07-19T18:23:00Z</dcterms:created>
  <dcterms:modified xsi:type="dcterms:W3CDTF">2026-07-19T18:23:00Z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Cooperative diagnosis in small teams — where members combine partial evidence, communicate beliefs, and coordinate on a shared understanding — has been formalized in the Extended Mutual Belief Model (EMBM) of Okabe et al. (2025), an agent-based simulation in which each of three agents maintains a stack of seven Bayesian belief networks representing self, direct beliefs about teammates, and projected beliefs about how teammates in turn model each other. A near-universal assumption of this and related recursive-mutual-belief architectures is that all agents in a team share the same inference substrate. Real cooperative teams — particularly the increasingly common human–AI teams in operational settings — typically do not. We extend EMBM with pluggable inference engines (Bayesian belief network, hidden-Markov approximation, and decision tree) and use agent-based simulation to study three-agent teams in which one agent runs a different substrate from the others, crossed with a projection-mode manipulation that varies whether agents model teammates using their own substrate (naive projection) or the teammate’s true substrate (aware projection). Across two 17-node Bayesian networks (Okabe et al.’s Kanno car-diagnosis network and a controlled synthetic domain, N=15 replicates per cell) plus a scale-expansion validation on the canonical 37-node ALARM anesthesia-monitoring network of Beinlich et al. (1989) (N=5 replicates per cell), across two mismatched-substrate axes and eight hard scenarios per network, we find that substrate heterogeneity produces two distinct effects that must be considered jointly: a sensitivity gain, in which aware mismatched teams detect substantially more inter-agent conflicts than matched teams in every 17-node condition tested; and an inference quality loss, in which the mismatched substrate degrades single-agent diagnostic accuracy in proportion to its inferential distance from exact Bayesian propagation. The signed effect of substrate mismatch on team accuracy is the balance of these two forces, and it can favor either heterogeneity or homogeneity depending on how much the mismatched substrate deviates from exact propagation. On ALARM, the balance is preserved directionally but attenuated in magnitude — consistent with the two-force account’s prediction that both forces should dilute across larger inference surfaces. Naive projection systematically suppresses most of the sensitivity signal, producing an illusory-agreement pathology whose severity is bounded by the underlying substrate gap. We propose a two-force account of substrate heterogeneity in recursive-mutual-belief teams. All model code, simulation runners, and results data are publicly released for replication.</vt:lpwstr>
  </property>
  <property fmtid="{D5CDD505-2E9C-101B-9397-08002B2CF9AE}" pid="3" name="affiliation">
    <vt:lpwstr/>
  </property>
  <property fmtid="{D5CDD505-2E9C-101B-9397-08002B2CF9AE}" pid="4" name="date">
    <vt:lpwstr>July 2026</vt:lpwstr>
  </property>
  <property fmtid="{D5CDD505-2E9C-101B-9397-08002B2CF9AE}" pid="5" name="GrammarlyDocumentId">
    <vt:lpwstr>cf6d090d-9fb4-4c58-8c34-1da65a978705</vt:lpwstr>
  </property>
</Properties>
</file>