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0CCF" w14:textId="77777777" w:rsidR="003D122F" w:rsidRPr="000A0425" w:rsidRDefault="007C1A26">
      <w:pPr>
        <w:pStyle w:val="Title"/>
        <w:rPr>
          <w:rFonts w:ascii="Times New Roman" w:hAnsi="Times New Roman" w:cs="Times New Roman"/>
          <w:color w:val="000000" w:themeColor="text1"/>
          <w:sz w:val="24"/>
          <w:szCs w:val="24"/>
        </w:rPr>
      </w:pPr>
      <w:r w:rsidRPr="000A0425">
        <w:rPr>
          <w:rFonts w:ascii="Times New Roman" w:hAnsi="Times New Roman" w:cs="Times New Roman"/>
          <w:color w:val="000000" w:themeColor="text1"/>
          <w:sz w:val="24"/>
          <w:szCs w:val="24"/>
        </w:rPr>
        <w:t>Two Forces of Substrate Heterogeneity: Sensitivity Gain and Quality Loss in Multi-Agent Cooperative Diagnosis</w:t>
      </w:r>
    </w:p>
    <w:p w14:paraId="49910CD0" w14:textId="77777777" w:rsidR="003D122F" w:rsidRPr="000A0425" w:rsidRDefault="007C1A26">
      <w:pPr>
        <w:pStyle w:val="Author"/>
        <w:rPr>
          <w:rFonts w:ascii="Times New Roman" w:hAnsi="Times New Roman" w:cs="Times New Roman"/>
          <w:color w:val="000000" w:themeColor="text1"/>
        </w:rPr>
      </w:pPr>
      <w:r w:rsidRPr="000A0425">
        <w:rPr>
          <w:rFonts w:ascii="Times New Roman" w:hAnsi="Times New Roman" w:cs="Times New Roman"/>
          <w:color w:val="000000" w:themeColor="text1"/>
        </w:rPr>
        <w:t>Ravikiran Kalluri¹</w:t>
      </w:r>
    </w:p>
    <w:p w14:paraId="49910CD1" w14:textId="77777777" w:rsidR="003D122F" w:rsidRPr="000A0425" w:rsidRDefault="007C1A26">
      <w:pPr>
        <w:pStyle w:val="Author"/>
        <w:rPr>
          <w:rFonts w:ascii="Times New Roman" w:hAnsi="Times New Roman" w:cs="Times New Roman"/>
          <w:color w:val="000000" w:themeColor="text1"/>
        </w:rPr>
      </w:pPr>
      <w:r w:rsidRPr="000A0425">
        <w:rPr>
          <w:rFonts w:ascii="Times New Roman" w:hAnsi="Times New Roman" w:cs="Times New Roman"/>
          <w:color w:val="000000" w:themeColor="text1"/>
        </w:rPr>
        <w:t>Taro Kanno²</w:t>
      </w:r>
    </w:p>
    <w:p w14:paraId="49910CD3" w14:textId="77777777" w:rsidR="003D122F" w:rsidRPr="000A0425" w:rsidRDefault="007C1A26">
      <w:pPr>
        <w:pStyle w:val="AbstractTitle"/>
        <w:rPr>
          <w:rFonts w:ascii="Times New Roman" w:hAnsi="Times New Roman" w:cs="Times New Roman"/>
          <w:color w:val="000000" w:themeColor="text1"/>
          <w:sz w:val="24"/>
          <w:szCs w:val="24"/>
        </w:rPr>
      </w:pPr>
      <w:r w:rsidRPr="000A0425">
        <w:rPr>
          <w:rFonts w:ascii="Times New Roman" w:hAnsi="Times New Roman" w:cs="Times New Roman"/>
          <w:color w:val="000000" w:themeColor="text1"/>
          <w:sz w:val="24"/>
          <w:szCs w:val="24"/>
        </w:rPr>
        <w:t>Abstract</w:t>
      </w:r>
    </w:p>
    <w:p w14:paraId="49910CD4" w14:textId="77777777" w:rsidR="003D122F" w:rsidRPr="000A0425" w:rsidRDefault="007C1A26">
      <w:pPr>
        <w:pStyle w:val="Abstract"/>
        <w:rPr>
          <w:rFonts w:ascii="Times New Roman" w:hAnsi="Times New Roman" w:cs="Times New Roman"/>
          <w:color w:val="000000" w:themeColor="text1"/>
          <w:sz w:val="24"/>
          <w:szCs w:val="24"/>
        </w:rPr>
      </w:pPr>
      <w:r w:rsidRPr="000A0425">
        <w:rPr>
          <w:rFonts w:ascii="Times New Roman" w:hAnsi="Times New Roman" w:cs="Times New Roman"/>
          <w:color w:val="000000" w:themeColor="text1"/>
          <w:sz w:val="24"/>
          <w:szCs w:val="24"/>
        </w:rPr>
        <w:t xml:space="preserve">Cooperative diagnosis in small teams — where members combine partial evidence, </w:t>
      </w:r>
      <w:r w:rsidRPr="000A0425">
        <w:rPr>
          <w:rFonts w:ascii="Times New Roman" w:hAnsi="Times New Roman" w:cs="Times New Roman"/>
          <w:color w:val="000000" w:themeColor="text1"/>
          <w:sz w:val="24"/>
          <w:szCs w:val="24"/>
        </w:rPr>
        <w:t>communicate beliefs, and coordinate on a shared understanding — has been formalized in the Extended Mutual Belief Model (EMBM) of Okabe et al. (2025), an agent-based simulation in which each of three agents maintains a stack of seven Bayesian belief networks representing self, direct beliefs about teammates, and projected beliefs about how teammates in turn model each other. A near-universal assumption of this and related recursive-mutual-belief architectures is that all agents in a team share the same infe</w:t>
      </w:r>
      <w:r w:rsidRPr="000A0425">
        <w:rPr>
          <w:rFonts w:ascii="Times New Roman" w:hAnsi="Times New Roman" w:cs="Times New Roman"/>
          <w:color w:val="000000" w:themeColor="text1"/>
          <w:sz w:val="24"/>
          <w:szCs w:val="24"/>
        </w:rPr>
        <w:t>rence substrate. Real cooperative teams — particularly the increasingly common human–AI teams in operational settings — typically do not. We extend EMBM with pluggable inference engines (Bayesian belief network, hidden-Markov approximation, and decision tree) and use agent-based simulation to study three-agent teams in which one agent runs a different substrate from the others, crossed with a projection-mode manipulation that varies whether agents model teammates using their own substrate (naive projection)</w:t>
      </w:r>
      <w:r w:rsidRPr="000A0425">
        <w:rPr>
          <w:rFonts w:ascii="Times New Roman" w:hAnsi="Times New Roman" w:cs="Times New Roman"/>
          <w:color w:val="000000" w:themeColor="text1"/>
          <w:sz w:val="24"/>
          <w:szCs w:val="24"/>
        </w:rPr>
        <w:t xml:space="preserve"> or the teammate’s true substrate (aware projection). Across two 17-node Bayesian networks, two mismatched-substrate axes, and eight hard scenarios per network with fifteen replicate runs per cell, we find that substrate heterogeneity produces two distinct effects that must be considered jointly: a </w:t>
      </w:r>
      <w:r w:rsidRPr="000A0425">
        <w:rPr>
          <w:rFonts w:ascii="Times New Roman" w:hAnsi="Times New Roman" w:cs="Times New Roman"/>
          <w:i/>
          <w:iCs/>
          <w:color w:val="000000" w:themeColor="text1"/>
          <w:sz w:val="24"/>
          <w:szCs w:val="24"/>
        </w:rPr>
        <w:t>sensitivity gain</w:t>
      </w:r>
      <w:r w:rsidRPr="000A0425">
        <w:rPr>
          <w:rFonts w:ascii="Times New Roman" w:hAnsi="Times New Roman" w:cs="Times New Roman"/>
          <w:color w:val="000000" w:themeColor="text1"/>
          <w:sz w:val="24"/>
          <w:szCs w:val="24"/>
        </w:rPr>
        <w:t xml:space="preserve">, in which aware mismatched teams detect substantially more inter-agent conflicts than matched teams in every condition tested; and an </w:t>
      </w:r>
      <w:r w:rsidRPr="000A0425">
        <w:rPr>
          <w:rFonts w:ascii="Times New Roman" w:hAnsi="Times New Roman" w:cs="Times New Roman"/>
          <w:i/>
          <w:iCs/>
          <w:color w:val="000000" w:themeColor="text1"/>
          <w:sz w:val="24"/>
          <w:szCs w:val="24"/>
        </w:rPr>
        <w:t>inference quality loss</w:t>
      </w:r>
      <w:r w:rsidRPr="000A0425">
        <w:rPr>
          <w:rFonts w:ascii="Times New Roman" w:hAnsi="Times New Roman" w:cs="Times New Roman"/>
          <w:color w:val="000000" w:themeColor="text1"/>
          <w:sz w:val="24"/>
          <w:szCs w:val="24"/>
        </w:rPr>
        <w:t>, in which the mismatched substrate deg</w:t>
      </w:r>
      <w:r w:rsidRPr="000A0425">
        <w:rPr>
          <w:rFonts w:ascii="Times New Roman" w:hAnsi="Times New Roman" w:cs="Times New Roman"/>
          <w:color w:val="000000" w:themeColor="text1"/>
          <w:sz w:val="24"/>
          <w:szCs w:val="24"/>
        </w:rPr>
        <w:t>rades single-agent diagnostic accuracy in proportion to its inferential distance from exact Bayesian propagation. The signed effect of substrate mismatch on team accuracy is the balance of these two forces, and it can favor either heterogeneity or homogeneity depending on how much the mismatched substrate deviates from exact propagation. Naive projection systematically suppresses most of the sensitivity signal, producing an illusory-agreement pathology whose severity is bounded by the underlying substrate g</w:t>
      </w:r>
      <w:r w:rsidRPr="000A0425">
        <w:rPr>
          <w:rFonts w:ascii="Times New Roman" w:hAnsi="Times New Roman" w:cs="Times New Roman"/>
          <w:color w:val="000000" w:themeColor="text1"/>
          <w:sz w:val="24"/>
          <w:szCs w:val="24"/>
        </w:rPr>
        <w:t>ap. We propose a two-force account of substrate heterogeneity in recursive-mutual-belief teams. All model code, simulation runners, and results data are publicly released for replication.</w:t>
      </w:r>
    </w:p>
    <w:p w14:paraId="49910CD5"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b/>
          <w:bCs/>
          <w:color w:val="000000" w:themeColor="text1"/>
        </w:rPr>
        <w:t>Keywords:</w:t>
      </w:r>
      <w:r w:rsidRPr="000A0425">
        <w:rPr>
          <w:rFonts w:ascii="Times New Roman" w:hAnsi="Times New Roman" w:cs="Times New Roman"/>
          <w:color w:val="000000" w:themeColor="text1"/>
        </w:rPr>
        <w:t xml:space="preserve"> Extended Mutual Belief Model (EMBM); team cognition; agent-based simulation; inference substrate heterogeneity; cooperative diagnosis; team situation awareness; recursive mutual beliefs; human–AI teaming</w:t>
      </w:r>
    </w:p>
    <w:p w14:paraId="49910CD6" w14:textId="77777777" w:rsidR="003D122F" w:rsidRPr="000A0425" w:rsidRDefault="007C1A26">
      <w:pPr>
        <w:pStyle w:val="Heading1"/>
        <w:rPr>
          <w:rFonts w:ascii="Times New Roman" w:hAnsi="Times New Roman" w:cs="Times New Roman"/>
          <w:color w:val="000000" w:themeColor="text1"/>
          <w:sz w:val="24"/>
          <w:szCs w:val="24"/>
        </w:rPr>
      </w:pPr>
      <w:bookmarkStart w:id="0" w:name="introduction"/>
      <w:r w:rsidRPr="000A0425">
        <w:rPr>
          <w:rFonts w:ascii="Times New Roman" w:hAnsi="Times New Roman" w:cs="Times New Roman"/>
          <w:color w:val="000000" w:themeColor="text1"/>
          <w:sz w:val="24"/>
          <w:szCs w:val="24"/>
        </w:rPr>
        <w:t>1. Introduction</w:t>
      </w:r>
    </w:p>
    <w:p w14:paraId="49910CD7" w14:textId="1607C072"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Cooperative diagnosis under partial observability requires more than pooling evidence. It requires each agent to maintain not only a belief about the state of the world, but a belief about what its teammates believe, and a belief about what its teammates believe about </w:t>
      </w:r>
      <w:r w:rsidRPr="000A0425">
        <w:rPr>
          <w:rFonts w:ascii="Times New Roman" w:hAnsi="Times New Roman" w:cs="Times New Roman"/>
          <w:i/>
          <w:iCs/>
          <w:color w:val="000000" w:themeColor="text1"/>
        </w:rPr>
        <w:t>its</w:t>
      </w:r>
      <w:r w:rsidRPr="000A0425">
        <w:rPr>
          <w:rFonts w:ascii="Times New Roman" w:hAnsi="Times New Roman" w:cs="Times New Roman"/>
          <w:color w:val="000000" w:themeColor="text1"/>
        </w:rPr>
        <w:t xml:space="preserve"> beliefs. </w:t>
      </w:r>
      <w:r w:rsidRPr="000A0425">
        <w:rPr>
          <w:rFonts w:ascii="Times New Roman" w:hAnsi="Times New Roman" w:cs="Times New Roman"/>
          <w:color w:val="000000" w:themeColor="text1"/>
        </w:rPr>
        <w:lastRenderedPageBreak/>
        <w:t xml:space="preserve">Okabe et al. (2025) formalized this in the Extended Mutual Belief Model (EMBM), </w:t>
      </w:r>
      <w:r w:rsidR="00216F26" w:rsidRPr="000A0425">
        <w:rPr>
          <w:rFonts w:ascii="Times New Roman" w:hAnsi="Times New Roman" w:cs="Times New Roman"/>
          <w:color w:val="000000" w:themeColor="text1"/>
        </w:rPr>
        <w:t>assigning each agent a stack of seven belief structures — one self-cognition, two direct beliefs about teammates, and four projected beliefs about teammates’ beliefs about others — which are updated through</w:t>
      </w:r>
      <w:r w:rsidRPr="000A0425">
        <w:rPr>
          <w:rFonts w:ascii="Times New Roman" w:hAnsi="Times New Roman" w:cs="Times New Roman"/>
          <w:color w:val="000000" w:themeColor="text1"/>
        </w:rPr>
        <w:t xml:space="preserve"> metacognitive conflict resolution across the diagnostic action sequence. EMBM has become an anchoring computational account of how team situation awareness is constructed through communication, and its published curves for a car-diagnosis domain are widely reproduced as a benchmark for multi-agent belief coordination.</w:t>
      </w:r>
    </w:p>
    <w:p w14:paraId="49910CD8" w14:textId="5EA05012"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EMBM, like nearly all recursive mutual-belief architectures we are aware of, assumes computational homogeneity: every agent, and every one of the seven belief structures inside every agent, runs on the same inference substrate. In the original formulation of Okabe et al. (2025), this substrate is a Bayesian belief network (BBN) with exact propagation over a shared causal graph. That assumption is analytically convenient — it lets projection be a straightforward act of running the same machinery under differ</w:t>
      </w:r>
      <w:r w:rsidRPr="000A0425">
        <w:rPr>
          <w:rFonts w:ascii="Times New Roman" w:hAnsi="Times New Roman" w:cs="Times New Roman"/>
          <w:color w:val="000000" w:themeColor="text1"/>
        </w:rPr>
        <w:t xml:space="preserve">ent priors — but it is empirically strong. Real cooperative diagnosis teams, whether biological or increasingly heterogeneous human-AI teams, do not share substrates. A radiologist and a triage algorithm do not compute posteriors </w:t>
      </w:r>
      <w:r w:rsidR="00216F26" w:rsidRPr="000A0425">
        <w:rPr>
          <w:rFonts w:ascii="Times New Roman" w:hAnsi="Times New Roman" w:cs="Times New Roman"/>
          <w:color w:val="000000" w:themeColor="text1"/>
        </w:rPr>
        <w:t>in the same way; a pilot and a flight-management system do not represent uncertainty on the same scale; a domain expert and a large language model do not perform inference through the same operations, even when they are given</w:t>
      </w:r>
      <w:r w:rsidRPr="000A0425">
        <w:rPr>
          <w:rFonts w:ascii="Times New Roman" w:hAnsi="Times New Roman" w:cs="Times New Roman"/>
          <w:color w:val="000000" w:themeColor="text1"/>
        </w:rPr>
        <w:t xml:space="preserve"> the same evidence. Whether the EMBM machinery survives this heterogeneity — whether recursive mutual beliefs still coordinate a team when the teammates literally cannot represent each other’s inferences — is unknown.</w:t>
      </w:r>
    </w:p>
    <w:p w14:paraId="49910CD9" w14:textId="390DA250"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We take up that question by extending EMBM with a </w:t>
      </w:r>
      <w:r w:rsidRPr="000A0425">
        <w:rPr>
          <w:rFonts w:ascii="Times New Roman" w:hAnsi="Times New Roman" w:cs="Times New Roman"/>
          <w:b/>
          <w:bCs/>
          <w:color w:val="000000" w:themeColor="text1"/>
        </w:rPr>
        <w:t>pluggable inference substrate</w:t>
      </w:r>
      <w:r w:rsidRPr="000A0425">
        <w:rPr>
          <w:rFonts w:ascii="Times New Roman" w:hAnsi="Times New Roman" w:cs="Times New Roman"/>
          <w:color w:val="000000" w:themeColor="text1"/>
        </w:rPr>
        <w:t xml:space="preserve">. The seven belief structures </w:t>
      </w:r>
      <w:r w:rsidR="00216F26" w:rsidRPr="000A0425">
        <w:rPr>
          <w:rFonts w:ascii="Times New Roman" w:hAnsi="Times New Roman" w:cs="Times New Roman"/>
          <w:color w:val="000000" w:themeColor="text1"/>
        </w:rPr>
        <w:t>within each agent and across agents</w:t>
      </w:r>
      <w:r w:rsidRPr="000A0425">
        <w:rPr>
          <w:rFonts w:ascii="Times New Roman" w:hAnsi="Times New Roman" w:cs="Times New Roman"/>
          <w:color w:val="000000" w:themeColor="text1"/>
        </w:rPr>
        <w:t xml:space="preserve"> are no longer required to be BBNs. They implement a minimal three-operation interface — </w:t>
      </w:r>
      <w:r w:rsidRPr="000A0425">
        <w:rPr>
          <w:rStyle w:val="VerbatimChar"/>
          <w:rFonts w:ascii="Times New Roman" w:hAnsi="Times New Roman" w:cs="Times New Roman"/>
          <w:color w:val="000000" w:themeColor="text1"/>
          <w:sz w:val="24"/>
        </w:rPr>
        <w:t>ingest(evidence)</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posterior(node)</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 xml:space="preserve">diagnosis(node, </w:t>
      </w:r>
      <w:proofErr w:type="gramStart"/>
      <w:r w:rsidRPr="000A0425">
        <w:rPr>
          <w:rStyle w:val="VerbatimChar"/>
          <w:rFonts w:ascii="Times New Roman" w:hAnsi="Times New Roman" w:cs="Times New Roman"/>
          <w:color w:val="000000" w:themeColor="text1"/>
          <w:sz w:val="24"/>
        </w:rPr>
        <w:t>threshold)</w:t>
      </w:r>
      <w:r w:rsidRPr="000A0425">
        <w:rPr>
          <w:rFonts w:ascii="Times New Roman" w:hAnsi="Times New Roman" w:cs="Times New Roman"/>
          <w:color w:val="000000" w:themeColor="text1"/>
        </w:rPr>
        <w:t xml:space="preserve"> —</w:t>
      </w:r>
      <w:proofErr w:type="gramEnd"/>
      <w:r w:rsidRPr="000A0425">
        <w:rPr>
          <w:rFonts w:ascii="Times New Roman" w:hAnsi="Times New Roman" w:cs="Times New Roman"/>
          <w:color w:val="000000" w:themeColor="text1"/>
        </w:rPr>
        <w:t xml:space="preserve"> that is sufficient for the full EMBM control logic while allowing the underlying computation to be a BBN, a hidden-Markov chain, a decision tree, or any other posterior-yielding architecture. Every engine consumes the same shared causal specification, so representational choice is manipulated while domain knowledge is held constant. Agents in a team can the</w:t>
      </w:r>
      <w:r w:rsidRPr="000A0425">
        <w:rPr>
          <w:rFonts w:ascii="Times New Roman" w:hAnsi="Times New Roman" w:cs="Times New Roman"/>
          <w:color w:val="000000" w:themeColor="text1"/>
        </w:rPr>
        <w:t xml:space="preserve">n be assigned different substrates, and the projection layer that models </w:t>
      </w:r>
      <w:r w:rsidR="00216F26" w:rsidRPr="000A0425">
        <w:rPr>
          <w:rFonts w:ascii="Times New Roman" w:hAnsi="Times New Roman" w:cs="Times New Roman"/>
          <w:color w:val="000000" w:themeColor="text1"/>
        </w:rPr>
        <w:t xml:space="preserve">teammates' beliefs can be configured either as aware (each agent models its teammates using their true substrate) or as </w:t>
      </w:r>
      <w:r w:rsidRPr="000A0425">
        <w:rPr>
          <w:rFonts w:ascii="Times New Roman" w:hAnsi="Times New Roman" w:cs="Times New Roman"/>
          <w:i/>
          <w:iCs/>
          <w:color w:val="000000" w:themeColor="text1"/>
        </w:rPr>
        <w:t>naive</w:t>
      </w:r>
      <w:r w:rsidRPr="000A0425">
        <w:rPr>
          <w:rFonts w:ascii="Times New Roman" w:hAnsi="Times New Roman" w:cs="Times New Roman"/>
          <w:color w:val="000000" w:themeColor="text1"/>
        </w:rPr>
        <w:t xml:space="preserve"> (each agent models its teammates using its own substrate, as if the assumption of homogeneity held).</w:t>
      </w:r>
    </w:p>
    <w:p w14:paraId="49910CDA" w14:textId="45483D06"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immediate question is whether heterogeneity is costly. Given that the tree engine, in particular, is a substantially weaker inference machine than a BBN — it holds no joint posterior, cannot integrate observations back through a causal chain, and commits crisply on argmax — one would predict that placing a tree agent in a team otherwise composed of BBN agents should hurt the team’s accuracy, and that this hurt should be larger when the tree teammate is modeled naively (as a BBN) than when it is modeled </w:t>
      </w:r>
      <w:r w:rsidRPr="000A0425">
        <w:rPr>
          <w:rFonts w:ascii="Times New Roman" w:hAnsi="Times New Roman" w:cs="Times New Roman"/>
          <w:color w:val="000000" w:themeColor="text1"/>
        </w:rPr>
        <w:t xml:space="preserve">aware (as a tree). This is essentially the </w:t>
      </w:r>
      <w:r w:rsidRPr="000A0425">
        <w:rPr>
          <w:rFonts w:ascii="Times New Roman" w:hAnsi="Times New Roman" w:cs="Times New Roman"/>
          <w:i/>
          <w:iCs/>
          <w:color w:val="000000" w:themeColor="text1"/>
        </w:rPr>
        <w:t>Anthropomorphization Trap</w:t>
      </w:r>
      <w:r w:rsidRPr="000A0425">
        <w:rPr>
          <w:rFonts w:ascii="Times New Roman" w:hAnsi="Times New Roman" w:cs="Times New Roman"/>
          <w:color w:val="000000" w:themeColor="text1"/>
        </w:rPr>
        <w:t xml:space="preserve"> hypothesis: assuming your heterogeneous teammate reasons </w:t>
      </w:r>
      <w:r w:rsidR="00216F26" w:rsidRPr="000A0425">
        <w:rPr>
          <w:rFonts w:ascii="Times New Roman" w:hAnsi="Times New Roman" w:cs="Times New Roman"/>
          <w:color w:val="000000" w:themeColor="text1"/>
        </w:rPr>
        <w:t>as</w:t>
      </w:r>
      <w:r w:rsidRPr="000A0425">
        <w:rPr>
          <w:rFonts w:ascii="Times New Roman" w:hAnsi="Times New Roman" w:cs="Times New Roman"/>
          <w:color w:val="000000" w:themeColor="text1"/>
        </w:rPr>
        <w:t xml:space="preserve"> you do </w:t>
      </w:r>
      <w:proofErr w:type="gramStart"/>
      <w:r w:rsidRPr="000A0425">
        <w:rPr>
          <w:rFonts w:ascii="Times New Roman" w:hAnsi="Times New Roman" w:cs="Times New Roman"/>
          <w:color w:val="000000" w:themeColor="text1"/>
        </w:rPr>
        <w:t>produces</w:t>
      </w:r>
      <w:proofErr w:type="gramEnd"/>
      <w:r w:rsidRPr="000A0425">
        <w:rPr>
          <w:rFonts w:ascii="Times New Roman" w:hAnsi="Times New Roman" w:cs="Times New Roman"/>
          <w:color w:val="000000" w:themeColor="text1"/>
        </w:rPr>
        <w:t xml:space="preserve"> a false sense of mutual understanding and a coordination pathology.</w:t>
      </w:r>
    </w:p>
    <w:p w14:paraId="49910CDB"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empirical picture is more nuanced. In this paper we report the results of a full 2×2×2 experimental design (network × mismatched-substrate axis × projection mode, plus the matched/mismatched composition contrast) run on two Bayesian networks — a controlled 17-node synthetic domain and the real Kanno car-diagnosis network — with eight difficulty-ranked scenarios per network, N=15 Monte Carlo runs per cell, and instrumentation that records not </w:t>
      </w:r>
      <w:r w:rsidRPr="000A0425">
        <w:rPr>
          <w:rFonts w:ascii="Times New Roman" w:hAnsi="Times New Roman" w:cs="Times New Roman"/>
          <w:color w:val="000000" w:themeColor="text1"/>
        </w:rPr>
        <w:lastRenderedPageBreak/>
        <w:t xml:space="preserve">only final team accuracy but also the initial and final counts of inter-agent conflicts detected by each agent, decomposed by whether the actor’s own belief agreed with ground truth (a </w:t>
      </w:r>
      <w:r w:rsidRPr="000A0425">
        <w:rPr>
          <w:rFonts w:ascii="Times New Roman" w:hAnsi="Times New Roman" w:cs="Times New Roman"/>
          <w:i/>
          <w:iCs/>
          <w:color w:val="000000" w:themeColor="text1"/>
        </w:rPr>
        <w:t>real</w:t>
      </w:r>
      <w:r w:rsidRPr="000A0425">
        <w:rPr>
          <w:rFonts w:ascii="Times New Roman" w:hAnsi="Times New Roman" w:cs="Times New Roman"/>
          <w:color w:val="000000" w:themeColor="text1"/>
        </w:rPr>
        <w:t xml:space="preserve"> conflict where help was needed) or disagreed with ground truth (a </w:t>
      </w:r>
      <w:r w:rsidRPr="000A0425">
        <w:rPr>
          <w:rFonts w:ascii="Times New Roman" w:hAnsi="Times New Roman" w:cs="Times New Roman"/>
          <w:i/>
          <w:iCs/>
          <w:color w:val="000000" w:themeColor="text1"/>
        </w:rPr>
        <w:t>phantom</w:t>
      </w:r>
      <w:r w:rsidRPr="000A0425">
        <w:rPr>
          <w:rFonts w:ascii="Times New Roman" w:hAnsi="Times New Roman" w:cs="Times New Roman"/>
          <w:color w:val="000000" w:themeColor="text1"/>
        </w:rPr>
        <w:t xml:space="preserve"> conflict where the actor was already right and the detected mismatch was illusory from an oracle’s perspective).</w:t>
      </w:r>
    </w:p>
    <w:p w14:paraId="49910CDC"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Our contribution has three parts. First, we document the substrate-mismatch cost in a proper multi-network, multi-axis design: the cost is real and always positive when the mismatched substrate is inferentially weaker than BBN, but it is </w:t>
      </w:r>
      <w:r w:rsidRPr="000A0425">
        <w:rPr>
          <w:rFonts w:ascii="Times New Roman" w:hAnsi="Times New Roman" w:cs="Times New Roman"/>
          <w:i/>
          <w:iCs/>
          <w:color w:val="000000" w:themeColor="text1"/>
        </w:rPr>
        <w:t>reversed</w:t>
      </w:r>
      <w:r w:rsidRPr="000A0425">
        <w:rPr>
          <w:rFonts w:ascii="Times New Roman" w:hAnsi="Times New Roman" w:cs="Times New Roman"/>
          <w:color w:val="000000" w:themeColor="text1"/>
        </w:rPr>
        <w:t xml:space="preserve"> when the mismatched substrate is inferentially close to BBN in the sense that its committed diagnoses seldom disagree with the BBN’s. Second, we identify a robust upstream mechanism — a </w:t>
      </w:r>
      <w:r w:rsidRPr="000A0425">
        <w:rPr>
          <w:rFonts w:ascii="Times New Roman" w:hAnsi="Times New Roman" w:cs="Times New Roman"/>
          <w:i/>
          <w:iCs/>
          <w:color w:val="000000" w:themeColor="text1"/>
        </w:rPr>
        <w:t>sensitivity gain</w:t>
      </w:r>
      <w:r w:rsidRPr="000A0425">
        <w:rPr>
          <w:rFonts w:ascii="Times New Roman" w:hAnsi="Times New Roman" w:cs="Times New Roman"/>
          <w:color w:val="000000" w:themeColor="text1"/>
        </w:rPr>
        <w:t xml:space="preserve"> in initial conflict detection under aware projection with mismatched substrates — that replicates in all four (network × axis) cells with per-scenario perfect replication in three of them and 6/8 in the fourth. Third, we show that this sensitivity gain is only partially productive: roughly half of t</w:t>
      </w:r>
      <w:r w:rsidRPr="000A0425">
        <w:rPr>
          <w:rFonts w:ascii="Times New Roman" w:hAnsi="Times New Roman" w:cs="Times New Roman"/>
          <w:color w:val="000000" w:themeColor="text1"/>
        </w:rPr>
        <w:t xml:space="preserve">he extra conflicts detected are </w:t>
      </w:r>
      <w:r w:rsidRPr="000A0425">
        <w:rPr>
          <w:rFonts w:ascii="Times New Roman" w:hAnsi="Times New Roman" w:cs="Times New Roman"/>
          <w:i/>
          <w:iCs/>
          <w:color w:val="000000" w:themeColor="text1"/>
        </w:rPr>
        <w:t>phantom</w:t>
      </w:r>
      <w:r w:rsidRPr="000A0425">
        <w:rPr>
          <w:rFonts w:ascii="Times New Roman" w:hAnsi="Times New Roman" w:cs="Times New Roman"/>
          <w:color w:val="000000" w:themeColor="text1"/>
        </w:rPr>
        <w:t>, in the sense that the actor was already correct, so the mismatched-aware team is not smarter but sensitized. We synthesize these findings into a two-force account: the signed effect of substrate mismatch on team accuracy is (real-sensitivity gain) minus (single-agent inference quality loss), and both forces are measurable independently.</w:t>
      </w:r>
    </w:p>
    <w:p w14:paraId="49910CDD"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rest of the paper is organized as follows. Section 2 reviews the EMBM framework and the small prior literature on substrate heterogeneity in recursive-belief multi-agent systems. Section 3 formalizes the extended model. Section 4 describes the experimental design and instrumentation. Section 5 reports the </w:t>
      </w:r>
      <w:proofErr w:type="gramStart"/>
      <w:r w:rsidRPr="000A0425">
        <w:rPr>
          <w:rFonts w:ascii="Times New Roman" w:hAnsi="Times New Roman" w:cs="Times New Roman"/>
          <w:color w:val="000000" w:themeColor="text1"/>
        </w:rPr>
        <w:t>results,</w:t>
      </w:r>
      <w:proofErr w:type="gramEnd"/>
      <w:r w:rsidRPr="000A0425">
        <w:rPr>
          <w:rFonts w:ascii="Times New Roman" w:hAnsi="Times New Roman" w:cs="Times New Roman"/>
          <w:color w:val="000000" w:themeColor="text1"/>
        </w:rPr>
        <w:t xml:space="preserve"> organized around the two forces. Section 6 discusses implications and boundary conditions.</w:t>
      </w:r>
    </w:p>
    <w:p w14:paraId="49910CDE" w14:textId="77777777" w:rsidR="003D122F" w:rsidRPr="000A0425" w:rsidRDefault="007C1A26">
      <w:pPr>
        <w:pStyle w:val="Heading1"/>
        <w:rPr>
          <w:rFonts w:ascii="Times New Roman" w:hAnsi="Times New Roman" w:cs="Times New Roman"/>
          <w:color w:val="000000" w:themeColor="text1"/>
          <w:sz w:val="24"/>
          <w:szCs w:val="24"/>
        </w:rPr>
      </w:pPr>
      <w:bookmarkStart w:id="1" w:name="related-work"/>
      <w:bookmarkEnd w:id="0"/>
      <w:r w:rsidRPr="000A0425">
        <w:rPr>
          <w:rFonts w:ascii="Times New Roman" w:hAnsi="Times New Roman" w:cs="Times New Roman"/>
          <w:color w:val="000000" w:themeColor="text1"/>
          <w:sz w:val="24"/>
          <w:szCs w:val="24"/>
        </w:rPr>
        <w:t>2. Related work</w:t>
      </w:r>
    </w:p>
    <w:p w14:paraId="49910CDF" w14:textId="77777777" w:rsidR="003D122F" w:rsidRPr="000A0425" w:rsidRDefault="007C1A26">
      <w:pPr>
        <w:pStyle w:val="Heading2"/>
        <w:rPr>
          <w:rFonts w:ascii="Times New Roman" w:hAnsi="Times New Roman" w:cs="Times New Roman"/>
          <w:color w:val="000000" w:themeColor="text1"/>
          <w:sz w:val="24"/>
          <w:szCs w:val="24"/>
        </w:rPr>
      </w:pPr>
      <w:bookmarkStart w:id="2" w:name="team-cognition-and-mutual-belief"/>
      <w:r w:rsidRPr="000A0425">
        <w:rPr>
          <w:rFonts w:ascii="Times New Roman" w:hAnsi="Times New Roman" w:cs="Times New Roman"/>
          <w:color w:val="000000" w:themeColor="text1"/>
          <w:sz w:val="24"/>
          <w:szCs w:val="24"/>
        </w:rPr>
        <w:t>2.1 Team cognition and mutual belief</w:t>
      </w:r>
    </w:p>
    <w:p w14:paraId="49910CE0" w14:textId="663E9675"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The study of team cognition — how a group of agents collectively perceives, reasons about, and coordinates on a shared task — has a long empirical and theoretical history in human factors and cognitive ergonomics (Salas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2008; Salas et al.</w:t>
      </w:r>
      <w:r w:rsidR="006869F4"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2011; Cooke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2013; McNeese et al.</w:t>
      </w:r>
      <w:r w:rsidR="006869F4"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2020). Two broad computational traditions coexist. </w:t>
      </w:r>
      <w:r w:rsidRPr="000A0425">
        <w:rPr>
          <w:rFonts w:ascii="Times New Roman" w:hAnsi="Times New Roman" w:cs="Times New Roman"/>
          <w:i/>
          <w:iCs/>
          <w:color w:val="000000" w:themeColor="text1"/>
        </w:rPr>
        <w:t>Holistic</w:t>
      </w:r>
      <w:r w:rsidRPr="000A0425">
        <w:rPr>
          <w:rFonts w:ascii="Times New Roman" w:hAnsi="Times New Roman" w:cs="Times New Roman"/>
          <w:color w:val="000000" w:themeColor="text1"/>
        </w:rPr>
        <w:t xml:space="preserve"> models, exemplified by Hutchins’s (1995) distributed cognition and Cooke et al.’s (2013) interactive team cognition, treat a team as a single system whose cognitive properties emerge from the interactions of its members without decomposing into individual belief structures. </w:t>
      </w:r>
      <w:r w:rsidRPr="000A0425">
        <w:rPr>
          <w:rFonts w:ascii="Times New Roman" w:hAnsi="Times New Roman" w:cs="Times New Roman"/>
          <w:i/>
          <w:iCs/>
          <w:color w:val="000000" w:themeColor="text1"/>
        </w:rPr>
        <w:t>Collective</w:t>
      </w:r>
      <w:r w:rsidRPr="000A0425">
        <w:rPr>
          <w:rFonts w:ascii="Times New Roman" w:hAnsi="Times New Roman" w:cs="Times New Roman"/>
          <w:color w:val="000000" w:themeColor="text1"/>
        </w:rPr>
        <w:t xml:space="preserve"> models, in contrast, build team cognition compositionally from the beliefs of each individual member and the beliefs each holds about the others (Kanno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2013).</w:t>
      </w:r>
    </w:p>
    <w:p w14:paraId="49910CE1" w14:textId="32416465"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Collective models trace back to formal accounts of </w:t>
      </w:r>
      <w:r w:rsidRPr="000A0425">
        <w:rPr>
          <w:rFonts w:ascii="Times New Roman" w:hAnsi="Times New Roman" w:cs="Times New Roman"/>
          <w:i/>
          <w:iCs/>
          <w:color w:val="000000" w:themeColor="text1"/>
        </w:rPr>
        <w:t>mutual belief</w:t>
      </w:r>
      <w:r w:rsidRPr="000A0425">
        <w:rPr>
          <w:rFonts w:ascii="Times New Roman" w:hAnsi="Times New Roman" w:cs="Times New Roman"/>
          <w:color w:val="000000" w:themeColor="text1"/>
        </w:rPr>
        <w:t xml:space="preserve"> — the condition under which agents believe that they are sharing a belief with their teammates, thought to be necessary for coordinated collective action (Tuomela and Miller</w:t>
      </w:r>
      <w:r w:rsidR="006869F4"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1988). Kanno, Furuta, and Kitahara (2013) formalized this for dyadic teams as a three-layer structure: an agent’s self-cognition (M), the agent’s direct belief about its partner’s cognition (M’), and the agent’s projected belief about how its partner in turn models the agent’s own cognition (M’’). The recursive-and-reflexive character of this structure — beliefs about beliefs about beliefs — is what distinguishes mutual-belief models from simpler shared-mental-model accounts (Cooke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2000; Mohammed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 xml:space="preserve">2015). Nonose, Kanno, and Furuta (2010) applied this framework to develop an evaluation </w:t>
      </w:r>
      <w:r w:rsidRPr="000A0425">
        <w:rPr>
          <w:rFonts w:ascii="Times New Roman" w:hAnsi="Times New Roman" w:cs="Times New Roman"/>
          <w:color w:val="000000" w:themeColor="text1"/>
        </w:rPr>
        <w:lastRenderedPageBreak/>
        <w:t>method for team situation awareness, and subsequent work (</w:t>
      </w:r>
      <w:proofErr w:type="spellStart"/>
      <w:r w:rsidRPr="000A0425">
        <w:rPr>
          <w:rFonts w:ascii="Times New Roman" w:hAnsi="Times New Roman" w:cs="Times New Roman"/>
          <w:color w:val="000000" w:themeColor="text1"/>
        </w:rPr>
        <w:t>Nonose</w:t>
      </w:r>
      <w:proofErr w:type="spellEnd"/>
      <w:r w:rsidRPr="000A0425">
        <w:rPr>
          <w:rFonts w:ascii="Times New Roman" w:hAnsi="Times New Roman" w:cs="Times New Roman"/>
          <w:color w:val="000000" w:themeColor="text1"/>
        </w:rPr>
        <w:t xml:space="preserve">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2014) explored metacognitive effects on team behavior.</w:t>
      </w:r>
    </w:p>
    <w:p w14:paraId="49910CE2" w14:textId="77777777" w:rsidR="003D122F" w:rsidRPr="000A0425" w:rsidRDefault="007C1A26">
      <w:pPr>
        <w:pStyle w:val="Heading2"/>
        <w:rPr>
          <w:rFonts w:ascii="Times New Roman" w:hAnsi="Times New Roman" w:cs="Times New Roman"/>
          <w:color w:val="000000" w:themeColor="text1"/>
          <w:sz w:val="24"/>
          <w:szCs w:val="24"/>
        </w:rPr>
      </w:pPr>
      <w:bookmarkStart w:id="3" w:name="the-extended-mutual-belief-model"/>
      <w:bookmarkEnd w:id="2"/>
      <w:r w:rsidRPr="000A0425">
        <w:rPr>
          <w:rFonts w:ascii="Times New Roman" w:hAnsi="Times New Roman" w:cs="Times New Roman"/>
          <w:color w:val="000000" w:themeColor="text1"/>
          <w:sz w:val="24"/>
          <w:szCs w:val="24"/>
        </w:rPr>
        <w:t>2.2 The Extended Mutual Belief Model</w:t>
      </w:r>
    </w:p>
    <w:p w14:paraId="49910CE3"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Mahardhika, Kanno, and Furuta (2016) extended the dyadic mutual-belief formulation to three-or-more-person teams and introduced </w:t>
      </w:r>
      <w:r w:rsidRPr="000A0425">
        <w:rPr>
          <w:rFonts w:ascii="Times New Roman" w:hAnsi="Times New Roman" w:cs="Times New Roman"/>
          <w:i/>
          <w:iCs/>
          <w:color w:val="000000" w:themeColor="text1"/>
        </w:rPr>
        <w:t>mental subgrouping</w:t>
      </w:r>
      <w:r w:rsidRPr="000A0425">
        <w:rPr>
          <w:rFonts w:ascii="Times New Roman" w:hAnsi="Times New Roman" w:cs="Times New Roman"/>
          <w:color w:val="000000" w:themeColor="text1"/>
        </w:rPr>
        <w:t xml:space="preserve"> — the observation that in larger </w:t>
      </w:r>
      <w:proofErr w:type="gramStart"/>
      <w:r w:rsidRPr="000A0425">
        <w:rPr>
          <w:rFonts w:ascii="Times New Roman" w:hAnsi="Times New Roman" w:cs="Times New Roman"/>
          <w:color w:val="000000" w:themeColor="text1"/>
        </w:rPr>
        <w:t>teams</w:t>
      </w:r>
      <w:proofErr w:type="gramEnd"/>
      <w:r w:rsidRPr="000A0425">
        <w:rPr>
          <w:rFonts w:ascii="Times New Roman" w:hAnsi="Times New Roman" w:cs="Times New Roman"/>
          <w:color w:val="000000" w:themeColor="text1"/>
        </w:rPr>
        <w:t xml:space="preserve"> members typically do not model each teammate individually but chunk them into subgroups. Their formulation — henceforth EMBM — retains the three-layer structure per agent but expands each layer to hold multiple belief divisions corresponding to the number of teammates or subgroups. In a three-person team without subgrouping, each agent maintains seven belief structures: one self-cognition, two direct beliefs (one per teammate), and four projected bel</w:t>
      </w:r>
      <w:r w:rsidRPr="000A0425">
        <w:rPr>
          <w:rFonts w:ascii="Times New Roman" w:hAnsi="Times New Roman" w:cs="Times New Roman"/>
          <w:color w:val="000000" w:themeColor="text1"/>
        </w:rPr>
        <w:t>iefs (each teammate’s belief about each of the other two agents).</w:t>
      </w:r>
    </w:p>
    <w:p w14:paraId="49910CE4" w14:textId="5F68ACF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The direct implementation of EMBM as an agent-based simulation was undertaken by Okabe, Kanno, Cho, Furuta, Yoshida, Karikawa, Nonose, and Inoue (2025), who instantiated each of the seven belief structures per agent as a Bayesian belief network over a car-fault-diagnosis domain, defined an operational conflict-detection scheme (their Types I, II, and III) whose resolution drives an action-generation loop, and reported team-accuracy curves across scenarios varying in diagnostic difficulty and across model va</w:t>
      </w:r>
      <w:r w:rsidRPr="000A0425">
        <w:rPr>
          <w:rFonts w:ascii="Times New Roman" w:hAnsi="Times New Roman" w:cs="Times New Roman"/>
          <w:color w:val="000000" w:themeColor="text1"/>
        </w:rPr>
        <w:t xml:space="preserve">riations that ablated the mutual-belief layers. Their study established that the presence of mutual beliefs (M’ and </w:t>
      </w:r>
      <w:proofErr w:type="gramStart"/>
      <w:r w:rsidRPr="000A0425">
        <w:rPr>
          <w:rFonts w:ascii="Times New Roman" w:hAnsi="Times New Roman" w:cs="Times New Roman"/>
          <w:color w:val="000000" w:themeColor="text1"/>
        </w:rPr>
        <w:t>M’’</w:t>
      </w:r>
      <w:proofErr w:type="gramEnd"/>
      <w:r w:rsidRPr="000A0425">
        <w:rPr>
          <w:rFonts w:ascii="Times New Roman" w:hAnsi="Times New Roman" w:cs="Times New Roman"/>
          <w:color w:val="000000" w:themeColor="text1"/>
        </w:rPr>
        <w:t xml:space="preserve">) generally improves team </w:t>
      </w:r>
      <w:r w:rsidR="006869F4" w:rsidRPr="000A0425">
        <w:rPr>
          <w:rFonts w:ascii="Times New Roman" w:hAnsi="Times New Roman" w:cs="Times New Roman"/>
          <w:color w:val="000000" w:themeColor="text1"/>
        </w:rPr>
        <w:t xml:space="preserve">situational awareness relative to unaware baselines, while also identifying cases where mutual beliefs can produce a small negative effect through communication </w:t>
      </w:r>
      <w:r w:rsidRPr="000A0425">
        <w:rPr>
          <w:rFonts w:ascii="Times New Roman" w:hAnsi="Times New Roman" w:cs="Times New Roman"/>
          <w:color w:val="000000" w:themeColor="text1"/>
        </w:rPr>
        <w:t xml:space="preserve">biased by an incorrect prior belief about what teammates already know. In their limitations section, Okabe et al. (2025) explicitly note: “It is recommended that this study be replicated with models other than BBN, such as the Markov model and decision tree, for cross-validation.” The present study answers that call, while extending it: rather than replicating with alternative substrates </w:t>
      </w:r>
      <w:r w:rsidRPr="000A0425">
        <w:rPr>
          <w:rFonts w:ascii="Times New Roman" w:hAnsi="Times New Roman" w:cs="Times New Roman"/>
          <w:i/>
          <w:iCs/>
          <w:color w:val="000000" w:themeColor="text1"/>
        </w:rPr>
        <w:t>homogeneously</w:t>
      </w:r>
      <w:r w:rsidRPr="000A0425">
        <w:rPr>
          <w:rFonts w:ascii="Times New Roman" w:hAnsi="Times New Roman" w:cs="Times New Roman"/>
          <w:color w:val="000000" w:themeColor="text1"/>
        </w:rPr>
        <w:t xml:space="preserve">, we ask what happens when substrates are </w:t>
      </w:r>
      <w:r w:rsidRPr="000A0425">
        <w:rPr>
          <w:rFonts w:ascii="Times New Roman" w:hAnsi="Times New Roman" w:cs="Times New Roman"/>
          <w:i/>
          <w:iCs/>
          <w:color w:val="000000" w:themeColor="text1"/>
        </w:rPr>
        <w:t>heterogeneous</w:t>
      </w:r>
      <w:r w:rsidRPr="000A0425">
        <w:rPr>
          <w:rFonts w:ascii="Times New Roman" w:hAnsi="Times New Roman" w:cs="Times New Roman"/>
          <w:color w:val="000000" w:themeColor="text1"/>
        </w:rPr>
        <w:t xml:space="preserve"> across the team, and when the projection layer must </w:t>
      </w:r>
      <w:r w:rsidRPr="000A0425">
        <w:rPr>
          <w:rFonts w:ascii="Times New Roman" w:hAnsi="Times New Roman" w:cs="Times New Roman"/>
          <w:color w:val="000000" w:themeColor="text1"/>
        </w:rPr>
        <w:t>itself commit to a substrate for its teammate model.</w:t>
      </w:r>
    </w:p>
    <w:p w14:paraId="49910CE5" w14:textId="77777777" w:rsidR="003D122F" w:rsidRPr="000A0425" w:rsidRDefault="007C1A26">
      <w:pPr>
        <w:pStyle w:val="Heading2"/>
        <w:rPr>
          <w:rFonts w:ascii="Times New Roman" w:hAnsi="Times New Roman" w:cs="Times New Roman"/>
          <w:color w:val="000000" w:themeColor="text1"/>
          <w:sz w:val="24"/>
          <w:szCs w:val="24"/>
        </w:rPr>
      </w:pPr>
      <w:bookmarkStart w:id="4" w:name="X31891c3e09b35be6a788168cbc773db39e97d13"/>
      <w:bookmarkEnd w:id="3"/>
      <w:r w:rsidRPr="000A0425">
        <w:rPr>
          <w:rFonts w:ascii="Times New Roman" w:hAnsi="Times New Roman" w:cs="Times New Roman"/>
          <w:color w:val="000000" w:themeColor="text1"/>
          <w:sz w:val="24"/>
          <w:szCs w:val="24"/>
        </w:rPr>
        <w:t>2.3 Situation awareness, metacognition, and computational cognition</w:t>
      </w:r>
    </w:p>
    <w:p w14:paraId="49910CE6" w14:textId="6F8B5DCC"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Team situation awareness (TSA) is typically defined as a common understanding of the situation among team members (She and Li 2017; Rousseau et al. </w:t>
      </w:r>
      <w:r w:rsidR="00B60280"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2004</w:t>
      </w:r>
      <w:proofErr w:type="gramStart"/>
      <w:r w:rsidRPr="000A0425">
        <w:rPr>
          <w:rFonts w:ascii="Times New Roman" w:hAnsi="Times New Roman" w:cs="Times New Roman"/>
          <w:color w:val="000000" w:themeColor="text1"/>
        </w:rPr>
        <w:t>), and</w:t>
      </w:r>
      <w:proofErr w:type="gramEnd"/>
      <w:r w:rsidRPr="000A0425">
        <w:rPr>
          <w:rFonts w:ascii="Times New Roman" w:hAnsi="Times New Roman" w:cs="Times New Roman"/>
          <w:color w:val="000000" w:themeColor="text1"/>
        </w:rPr>
        <w:t xml:space="preserve"> is considered a critical prerequisite for effective team coordination (</w:t>
      </w:r>
      <w:proofErr w:type="spellStart"/>
      <w:r w:rsidRPr="000A0425">
        <w:rPr>
          <w:rFonts w:ascii="Times New Roman" w:hAnsi="Times New Roman" w:cs="Times New Roman"/>
          <w:color w:val="000000" w:themeColor="text1"/>
        </w:rPr>
        <w:t>Dourish</w:t>
      </w:r>
      <w:proofErr w:type="spellEnd"/>
      <w:r w:rsidRPr="000A0425">
        <w:rPr>
          <w:rFonts w:ascii="Times New Roman" w:hAnsi="Times New Roman" w:cs="Times New Roman"/>
          <w:color w:val="000000" w:themeColor="text1"/>
        </w:rPr>
        <w:t xml:space="preserve"> </w:t>
      </w:r>
      <w:r w:rsidR="00B60280" w:rsidRPr="000A0425">
        <w:rPr>
          <w:rFonts w:ascii="Times New Roman" w:hAnsi="Times New Roman" w:cs="Times New Roman"/>
          <w:color w:val="000000" w:themeColor="text1"/>
        </w:rPr>
        <w:t>&amp;</w:t>
      </w:r>
      <w:r w:rsidRPr="000A0425">
        <w:rPr>
          <w:rFonts w:ascii="Times New Roman" w:hAnsi="Times New Roman" w:cs="Times New Roman"/>
          <w:color w:val="000000" w:themeColor="text1"/>
        </w:rPr>
        <w:t xml:space="preserve"> Bellotti</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1992; </w:t>
      </w:r>
      <w:proofErr w:type="spellStart"/>
      <w:r w:rsidRPr="000A0425">
        <w:rPr>
          <w:rFonts w:ascii="Times New Roman" w:hAnsi="Times New Roman" w:cs="Times New Roman"/>
          <w:color w:val="000000" w:themeColor="text1"/>
        </w:rPr>
        <w:t>Gutwin</w:t>
      </w:r>
      <w:proofErr w:type="spellEnd"/>
      <w:r w:rsidRPr="000A0425">
        <w:rPr>
          <w:rFonts w:ascii="Times New Roman" w:hAnsi="Times New Roman" w:cs="Times New Roman"/>
          <w:color w:val="000000" w:themeColor="text1"/>
        </w:rPr>
        <w:t xml:space="preserve"> </w:t>
      </w:r>
      <w:r w:rsidR="00B60280" w:rsidRPr="000A0425">
        <w:rPr>
          <w:rFonts w:ascii="Times New Roman" w:hAnsi="Times New Roman" w:cs="Times New Roman"/>
          <w:color w:val="000000" w:themeColor="text1"/>
        </w:rPr>
        <w:t>&amp;</w:t>
      </w:r>
      <w:r w:rsidRPr="000A0425">
        <w:rPr>
          <w:rFonts w:ascii="Times New Roman" w:hAnsi="Times New Roman" w:cs="Times New Roman"/>
          <w:color w:val="000000" w:themeColor="text1"/>
        </w:rPr>
        <w:t xml:space="preserve"> Greenberg</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2004). Different definitions emphasize either the actual overlap in individual situation awarenesses (an outside-observer view) or the </w:t>
      </w:r>
      <w:r w:rsidRPr="000A0425">
        <w:rPr>
          <w:rFonts w:ascii="Times New Roman" w:hAnsi="Times New Roman" w:cs="Times New Roman"/>
          <w:i/>
          <w:iCs/>
          <w:color w:val="000000" w:themeColor="text1"/>
        </w:rPr>
        <w:t>believed</w:t>
      </w:r>
      <w:r w:rsidRPr="000A0425">
        <w:rPr>
          <w:rFonts w:ascii="Times New Roman" w:hAnsi="Times New Roman" w:cs="Times New Roman"/>
          <w:color w:val="000000" w:themeColor="text1"/>
        </w:rPr>
        <w:t xml:space="preserve"> overlap held by each member (an inside-team view); the mutual-belief architectures we build on are naturally suited to the second, because they distinguish between what is true of the world and what each agent believes about what each other agent knows (Kanno et al. </w:t>
      </w:r>
      <w:r w:rsidR="00B60280"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2013).</w:t>
      </w:r>
    </w:p>
    <w:p w14:paraId="49910CE7" w14:textId="30259BAB"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action-selection mechanism in EMBM is grounded in </w:t>
      </w:r>
      <w:r w:rsidRPr="000A0425">
        <w:rPr>
          <w:rFonts w:ascii="Times New Roman" w:hAnsi="Times New Roman" w:cs="Times New Roman"/>
          <w:i/>
          <w:iCs/>
          <w:color w:val="000000" w:themeColor="text1"/>
        </w:rPr>
        <w:t>metacognition</w:t>
      </w:r>
      <w:r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 cognition about one’s own cognition (Flavell</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1979; Nelson </w:t>
      </w:r>
      <w:r w:rsidR="006869F4" w:rsidRPr="000A0425">
        <w:rPr>
          <w:rFonts w:ascii="Times New Roman" w:hAnsi="Times New Roman" w:cs="Times New Roman"/>
          <w:color w:val="000000" w:themeColor="text1"/>
        </w:rPr>
        <w:t>&amp;</w:t>
      </w:r>
      <w:r w:rsidRPr="000A0425">
        <w:rPr>
          <w:rFonts w:ascii="Times New Roman" w:hAnsi="Times New Roman" w:cs="Times New Roman"/>
          <w:color w:val="000000" w:themeColor="text1"/>
        </w:rPr>
        <w:t xml:space="preserve"> Narens</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1994). In particular, EMBM implements metacognitive control as </w:t>
      </w:r>
      <w:r w:rsidRPr="000A0425">
        <w:rPr>
          <w:rFonts w:ascii="Times New Roman" w:hAnsi="Times New Roman" w:cs="Times New Roman"/>
          <w:i/>
          <w:iCs/>
          <w:color w:val="000000" w:themeColor="text1"/>
        </w:rPr>
        <w:t>conflict detection and resolution</w:t>
      </w:r>
      <w:r w:rsidRPr="000A0425">
        <w:rPr>
          <w:rFonts w:ascii="Times New Roman" w:hAnsi="Times New Roman" w:cs="Times New Roman"/>
          <w:color w:val="000000" w:themeColor="text1"/>
        </w:rPr>
        <w:t xml:space="preserve"> across belief layers: when an agent detects that its own belief about a node differs from its belief about a teammate’s belief about that node (Type I), or from its projected belief about the teammate’s belief about itself (Type II) or about the third teammate (Type III), that conflict triggers a communication or observation action. This connects EMBM to a broader tradition of computational cognitive architectu</w:t>
      </w:r>
      <w:r w:rsidRPr="000A0425">
        <w:rPr>
          <w:rFonts w:ascii="Times New Roman" w:hAnsi="Times New Roman" w:cs="Times New Roman"/>
          <w:color w:val="000000" w:themeColor="text1"/>
        </w:rPr>
        <w:t xml:space="preserve">res </w:t>
      </w:r>
      <w:r w:rsidRPr="000A0425">
        <w:rPr>
          <w:rFonts w:ascii="Times New Roman" w:hAnsi="Times New Roman" w:cs="Times New Roman"/>
          <w:color w:val="000000" w:themeColor="text1"/>
        </w:rPr>
        <w:lastRenderedPageBreak/>
        <w:t xml:space="preserve">(Anderson </w:t>
      </w:r>
      <w:r w:rsidR="006869F4" w:rsidRPr="000A0425">
        <w:rPr>
          <w:rFonts w:ascii="Times New Roman" w:hAnsi="Times New Roman" w:cs="Times New Roman"/>
          <w:color w:val="000000" w:themeColor="text1"/>
        </w:rPr>
        <w:t>&amp;</w:t>
      </w:r>
      <w:r w:rsidRPr="000A0425">
        <w:rPr>
          <w:rFonts w:ascii="Times New Roman" w:hAnsi="Times New Roman" w:cs="Times New Roman"/>
          <w:color w:val="000000" w:themeColor="text1"/>
        </w:rPr>
        <w:t xml:space="preserve"> </w:t>
      </w:r>
      <w:proofErr w:type="spellStart"/>
      <w:r w:rsidRPr="000A0425">
        <w:rPr>
          <w:rFonts w:ascii="Times New Roman" w:hAnsi="Times New Roman" w:cs="Times New Roman"/>
          <w:color w:val="000000" w:themeColor="text1"/>
        </w:rPr>
        <w:t>Lebiere</w:t>
      </w:r>
      <w:proofErr w:type="spellEnd"/>
      <w:r w:rsidR="006869F4"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1998; Newell 1990) while addressing a limitation those architectures share — they were designed for individual cognition, not for the recursive belief structures that team cognition requires (Okabe et al. </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2025).</w:t>
      </w:r>
    </w:p>
    <w:p w14:paraId="49910CE8" w14:textId="77777777" w:rsidR="003D122F" w:rsidRPr="000A0425" w:rsidRDefault="007C1A26">
      <w:pPr>
        <w:pStyle w:val="Heading2"/>
        <w:rPr>
          <w:rFonts w:ascii="Times New Roman" w:hAnsi="Times New Roman" w:cs="Times New Roman"/>
          <w:color w:val="000000" w:themeColor="text1"/>
          <w:sz w:val="24"/>
          <w:szCs w:val="24"/>
        </w:rPr>
      </w:pPr>
      <w:bookmarkStart w:id="5" w:name="the-substrate-homogeneity-assumption"/>
      <w:bookmarkEnd w:id="4"/>
      <w:r w:rsidRPr="000A0425">
        <w:rPr>
          <w:rFonts w:ascii="Times New Roman" w:hAnsi="Times New Roman" w:cs="Times New Roman"/>
          <w:color w:val="000000" w:themeColor="text1"/>
          <w:sz w:val="24"/>
          <w:szCs w:val="24"/>
        </w:rPr>
        <w:t>2.4 The substrate homogeneity assumption</w:t>
      </w:r>
    </w:p>
    <w:p w14:paraId="49910CE9" w14:textId="14FD6494"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Across the EMBM literature and the broader recursive-mutual-belief tradition, the belief structures within and across agents are almost universally assumed to run on the same inference substrate. In Okabe et al. (2025), all seven belief structures per agent, across all three agents, are BBNs with identical structure and CPTs; the manipulations tested vary which layers are present (ablations that remove M’ or </w:t>
      </w:r>
      <w:proofErr w:type="gramStart"/>
      <w:r w:rsidRPr="000A0425">
        <w:rPr>
          <w:rFonts w:ascii="Times New Roman" w:hAnsi="Times New Roman" w:cs="Times New Roman"/>
          <w:color w:val="000000" w:themeColor="text1"/>
        </w:rPr>
        <w:t>M’’</w:t>
      </w:r>
      <w:proofErr w:type="gramEnd"/>
      <w:r w:rsidRPr="000A0425">
        <w:rPr>
          <w:rFonts w:ascii="Times New Roman" w:hAnsi="Times New Roman" w:cs="Times New Roman"/>
          <w:color w:val="000000" w:themeColor="text1"/>
        </w:rPr>
        <w:t>), not which computational machinery those layers use. The homogeneity assumption is analytically convenient — it lets projection be the straightforward act of running the same machinery under different priors — but it is empirically strong. Andrews et al.’s (2023) theoretical review of shared mental models in human-AI teams treats the transfer of the shared-mental-model construct from all-human teams to human-AI teams as an open question rather than a settled equivalence. Real cooperative diagnosis team</w:t>
      </w:r>
      <w:r w:rsidRPr="000A0425">
        <w:rPr>
          <w:rFonts w:ascii="Times New Roman" w:hAnsi="Times New Roman" w:cs="Times New Roman"/>
          <w:color w:val="000000" w:themeColor="text1"/>
        </w:rPr>
        <w:t>s, particularly the increasingly common human-AI teams in which one member is an algorithm</w:t>
      </w:r>
      <w:r w:rsidR="006869F4"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and the others are humans, do not share </w:t>
      </w:r>
      <w:r w:rsidR="00B60280" w:rsidRPr="000A0425">
        <w:rPr>
          <w:rFonts w:ascii="Times New Roman" w:hAnsi="Times New Roman" w:cs="Times New Roman"/>
          <w:color w:val="000000" w:themeColor="text1"/>
        </w:rPr>
        <w:t>a common substrate</w:t>
      </w:r>
      <w:r w:rsidRPr="000A0425">
        <w:rPr>
          <w:rFonts w:ascii="Times New Roman" w:hAnsi="Times New Roman" w:cs="Times New Roman"/>
          <w:color w:val="000000" w:themeColor="text1"/>
        </w:rPr>
        <w:t xml:space="preserve">. A radiologist and a triage algorithm do not compute posteriors </w:t>
      </w:r>
      <w:r w:rsidR="00B60280" w:rsidRPr="000A0425">
        <w:rPr>
          <w:rFonts w:ascii="Times New Roman" w:hAnsi="Times New Roman" w:cs="Times New Roman"/>
          <w:color w:val="000000" w:themeColor="text1"/>
        </w:rPr>
        <w:t>in the same way; a pilot and a flight-management system do not represent uncertainty on the same scale; a domain expert and a large language model do not perform inference through the same operations, even when they are given</w:t>
      </w:r>
      <w:r w:rsidRPr="000A0425">
        <w:rPr>
          <w:rFonts w:ascii="Times New Roman" w:hAnsi="Times New Roman" w:cs="Times New Roman"/>
          <w:color w:val="000000" w:themeColor="text1"/>
        </w:rPr>
        <w:t xml:space="preserve"> the same evidence.</w:t>
      </w:r>
    </w:p>
    <w:p w14:paraId="49910CEA" w14:textId="43A1105C"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Broader multi-agent simulation traditions have considered forms of parametric or belief-content heterogeneity (</w:t>
      </w:r>
      <w:proofErr w:type="spellStart"/>
      <w:r w:rsidRPr="000A0425">
        <w:rPr>
          <w:rFonts w:ascii="Times New Roman" w:hAnsi="Times New Roman" w:cs="Times New Roman"/>
          <w:color w:val="000000" w:themeColor="text1"/>
        </w:rPr>
        <w:t>Crosscombe</w:t>
      </w:r>
      <w:proofErr w:type="spellEnd"/>
      <w:r w:rsidRPr="000A0425">
        <w:rPr>
          <w:rFonts w:ascii="Times New Roman" w:hAnsi="Times New Roman" w:cs="Times New Roman"/>
          <w:color w:val="000000" w:themeColor="text1"/>
        </w:rPr>
        <w:t xml:space="preserve"> </w:t>
      </w:r>
      <w:r w:rsidR="00B60280" w:rsidRPr="000A0425">
        <w:rPr>
          <w:rFonts w:ascii="Times New Roman" w:hAnsi="Times New Roman" w:cs="Times New Roman"/>
          <w:color w:val="000000" w:themeColor="text1"/>
        </w:rPr>
        <w:t>&amp;</w:t>
      </w:r>
      <w:r w:rsidRPr="000A0425">
        <w:rPr>
          <w:rFonts w:ascii="Times New Roman" w:hAnsi="Times New Roman" w:cs="Times New Roman"/>
          <w:color w:val="000000" w:themeColor="text1"/>
        </w:rPr>
        <w:t xml:space="preserve"> Lawry</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2016; Li </w:t>
      </w:r>
      <w:r w:rsidR="00B60280" w:rsidRPr="000A0425">
        <w:rPr>
          <w:rFonts w:ascii="Times New Roman" w:hAnsi="Times New Roman" w:cs="Times New Roman"/>
          <w:color w:val="000000" w:themeColor="text1"/>
        </w:rPr>
        <w:t>&amp;</w:t>
      </w:r>
      <w:r w:rsidRPr="000A0425">
        <w:rPr>
          <w:rFonts w:ascii="Times New Roman" w:hAnsi="Times New Roman" w:cs="Times New Roman"/>
          <w:color w:val="000000" w:themeColor="text1"/>
        </w:rPr>
        <w:t xml:space="preserve"> Xiao</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2017), and agent-based models of team behavior have varied </w:t>
      </w:r>
      <w:r w:rsidR="006869F4" w:rsidRPr="000A0425">
        <w:rPr>
          <w:rFonts w:ascii="Times New Roman" w:hAnsi="Times New Roman" w:cs="Times New Roman"/>
          <w:color w:val="000000" w:themeColor="text1"/>
        </w:rPr>
        <w:t>in group size, communication protocols, and coordination structures (Cao et al., 2022; Glinton et al.</w:t>
      </w:r>
      <w:r w:rsidR="00B60280"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 xml:space="preserve">2010). But </w:t>
      </w:r>
      <w:r w:rsidRPr="000A0425">
        <w:rPr>
          <w:rFonts w:ascii="Times New Roman" w:hAnsi="Times New Roman" w:cs="Times New Roman"/>
          <w:i/>
          <w:iCs/>
          <w:color w:val="000000" w:themeColor="text1"/>
        </w:rPr>
        <w:t>substrate</w:t>
      </w:r>
      <w:r w:rsidRPr="000A0425">
        <w:rPr>
          <w:rFonts w:ascii="Times New Roman" w:hAnsi="Times New Roman" w:cs="Times New Roman"/>
          <w:color w:val="000000" w:themeColor="text1"/>
        </w:rPr>
        <w:t xml:space="preserve"> variation — where different agents literally compute inference through different mechanisms while representing the same domain, and where the projection layer must itself commit to a substrate for its teammate model — has not, to the authors’ knowledge, been embedded in a recursive-mutual-belief architecture. Discussions of substrate diversity have appeared in the human-AI teaming and human-machine cooperation literatures (</w:t>
      </w:r>
      <w:proofErr w:type="spellStart"/>
      <w:r w:rsidRPr="000A0425">
        <w:rPr>
          <w:rFonts w:ascii="Times New Roman" w:hAnsi="Times New Roman" w:cs="Times New Roman"/>
          <w:color w:val="000000" w:themeColor="text1"/>
        </w:rPr>
        <w:t>Flemisch</w:t>
      </w:r>
      <w:proofErr w:type="spellEnd"/>
      <w:r w:rsidRPr="000A0425">
        <w:rPr>
          <w:rFonts w:ascii="Times New Roman" w:hAnsi="Times New Roman" w:cs="Times New Roman"/>
          <w:color w:val="000000" w:themeColor="text1"/>
        </w:rPr>
        <w:t xml:space="preserve">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2019; Wright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2015), and recent empirical work has shown that humans perform and cognize measurably differently when they perceive a teammate as artificial rather than human (Schelble et al.</w:t>
      </w:r>
      <w:r w:rsidR="006869F4"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 xml:space="preserve">2023) — a first-order behavioral </w:t>
      </w:r>
      <w:r w:rsidR="006869F4" w:rsidRPr="000A0425">
        <w:rPr>
          <w:rFonts w:ascii="Times New Roman" w:hAnsi="Times New Roman" w:cs="Times New Roman"/>
          <w:color w:val="000000" w:themeColor="text1"/>
        </w:rPr>
        <w:t>analog</w:t>
      </w:r>
      <w:r w:rsidRPr="000A0425">
        <w:rPr>
          <w:rFonts w:ascii="Times New Roman" w:hAnsi="Times New Roman" w:cs="Times New Roman"/>
          <w:color w:val="000000" w:themeColor="text1"/>
        </w:rPr>
        <w:t xml:space="preserve"> of what we operationalize computationally as naive projection. What is missing from that empirical work is a formal recursive-belief structure to attach the projection-mode question to.</w:t>
      </w:r>
    </w:p>
    <w:p w14:paraId="49910CEB" w14:textId="77777777" w:rsidR="003D122F" w:rsidRPr="000A0425" w:rsidRDefault="007C1A26">
      <w:pPr>
        <w:pStyle w:val="Heading2"/>
        <w:rPr>
          <w:rFonts w:ascii="Times New Roman" w:hAnsi="Times New Roman" w:cs="Times New Roman"/>
          <w:color w:val="000000" w:themeColor="text1"/>
          <w:sz w:val="24"/>
          <w:szCs w:val="24"/>
        </w:rPr>
      </w:pPr>
      <w:bookmarkStart w:id="6" w:name="the-projection-question"/>
      <w:bookmarkEnd w:id="5"/>
      <w:r w:rsidRPr="000A0425">
        <w:rPr>
          <w:rFonts w:ascii="Times New Roman" w:hAnsi="Times New Roman" w:cs="Times New Roman"/>
          <w:color w:val="000000" w:themeColor="text1"/>
          <w:sz w:val="24"/>
          <w:szCs w:val="24"/>
        </w:rPr>
        <w:t>2.5 The projection question</w:t>
      </w:r>
    </w:p>
    <w:p w14:paraId="49910CEC" w14:textId="54080105"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We identify a specific operational concern that arises once substrates are heterogeneous, which we call the </w:t>
      </w:r>
      <w:r w:rsidRPr="000A0425">
        <w:rPr>
          <w:rFonts w:ascii="Times New Roman" w:hAnsi="Times New Roman" w:cs="Times New Roman"/>
          <w:i/>
          <w:iCs/>
          <w:color w:val="000000" w:themeColor="text1"/>
        </w:rPr>
        <w:t>projection question</w:t>
      </w:r>
      <w:r w:rsidRPr="000A0425">
        <w:rPr>
          <w:rFonts w:ascii="Times New Roman" w:hAnsi="Times New Roman" w:cs="Times New Roman"/>
          <w:color w:val="000000" w:themeColor="text1"/>
        </w:rPr>
        <w:t xml:space="preserve">. When agent A (running substrate X) needs to hold a belief about teammate B (running substrate Y), A must instantiate a projected-belief engine to hold that belief. If A instantiates the projected engine as substrate X — an X-flavored representation of what B thinks — we call that </w:t>
      </w:r>
      <w:r w:rsidRPr="000A0425">
        <w:rPr>
          <w:rFonts w:ascii="Times New Roman" w:hAnsi="Times New Roman" w:cs="Times New Roman"/>
          <w:i/>
          <w:iCs/>
          <w:color w:val="000000" w:themeColor="text1"/>
        </w:rPr>
        <w:t>naive</w:t>
      </w:r>
      <w:r w:rsidRPr="000A0425">
        <w:rPr>
          <w:rFonts w:ascii="Times New Roman" w:hAnsi="Times New Roman" w:cs="Times New Roman"/>
          <w:color w:val="000000" w:themeColor="text1"/>
        </w:rPr>
        <w:t xml:space="preserve"> projection. If A instantiates the projected engine as substrate Y — a Y-flavored representation of what B thinks — we call that </w:t>
      </w:r>
      <w:r w:rsidRPr="000A0425">
        <w:rPr>
          <w:rFonts w:ascii="Times New Roman" w:hAnsi="Times New Roman" w:cs="Times New Roman"/>
          <w:i/>
          <w:iCs/>
          <w:color w:val="000000" w:themeColor="text1"/>
        </w:rPr>
        <w:t>aware</w:t>
      </w:r>
      <w:r w:rsidRPr="000A0425">
        <w:rPr>
          <w:rFonts w:ascii="Times New Roman" w:hAnsi="Times New Roman" w:cs="Times New Roman"/>
          <w:color w:val="000000" w:themeColor="text1"/>
        </w:rPr>
        <w:t xml:space="preserve"> projection. Naive projection is not merely a cognitive laziness; it is</w:t>
      </w:r>
      <w:r w:rsidRPr="000A0425">
        <w:rPr>
          <w:rFonts w:ascii="Times New Roman" w:hAnsi="Times New Roman" w:cs="Times New Roman"/>
          <w:color w:val="000000" w:themeColor="text1"/>
        </w:rPr>
        <w:t xml:space="preserve"> a specific representational commitment. It amounts to modeling one’s heterogeneous teammate as computationally identical to oneself. This commitment is empirically consequential rather than merely theoretical: recent work in the theory-of-mind-in-LLMs literature has shown that some AI systems now pass classic false-belief </w:t>
      </w:r>
      <w:r w:rsidRPr="000A0425">
        <w:rPr>
          <w:rFonts w:ascii="Times New Roman" w:hAnsi="Times New Roman" w:cs="Times New Roman"/>
          <w:color w:val="000000" w:themeColor="text1"/>
        </w:rPr>
        <w:lastRenderedPageBreak/>
        <w:t>tasks and exhibit internal belief-tracking mechanisms of their own (Kosinski</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2024), so treating a machine teammate as substrate-identical to oneself is no longer just a simplifying assumption — it is a specific misspecification of what the teammate actually computes. Its downstream consequences are computable and, as we show, non-trivial.</w:t>
      </w:r>
    </w:p>
    <w:p w14:paraId="49910CED" w14:textId="77777777" w:rsidR="003D122F" w:rsidRPr="000A0425" w:rsidRDefault="007C1A26">
      <w:pPr>
        <w:pStyle w:val="Heading1"/>
        <w:rPr>
          <w:rFonts w:ascii="Times New Roman" w:hAnsi="Times New Roman" w:cs="Times New Roman"/>
          <w:color w:val="000000" w:themeColor="text1"/>
          <w:sz w:val="24"/>
          <w:szCs w:val="24"/>
        </w:rPr>
      </w:pPr>
      <w:bookmarkStart w:id="7" w:name="model-description-odd-protocol"/>
      <w:bookmarkEnd w:id="1"/>
      <w:bookmarkEnd w:id="6"/>
      <w:r w:rsidRPr="000A0425">
        <w:rPr>
          <w:rFonts w:ascii="Times New Roman" w:hAnsi="Times New Roman" w:cs="Times New Roman"/>
          <w:color w:val="000000" w:themeColor="text1"/>
          <w:sz w:val="24"/>
          <w:szCs w:val="24"/>
        </w:rPr>
        <w:t>3. Model description (ODD protocol)</w:t>
      </w:r>
    </w:p>
    <w:p w14:paraId="49910CEE"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We describe the model following the Overview, Design concepts, and Details (ODD) protocol of Grimm et al. (2006, 2020). The seven ODD sections below (Purpose and patterns; Entities, state variables, and scales; Process overview and scheduling; Design concepts; Initialization; Input data; Submodels) cover the same content that a narrative model description would but in a form that facilitates comparison with other agent-based models in the recursive-mutual-belief and cooperative-diagnosis literatures.</w:t>
      </w:r>
    </w:p>
    <w:p w14:paraId="49910CEF" w14:textId="77777777" w:rsidR="003D122F" w:rsidRPr="000A0425" w:rsidRDefault="007C1A26">
      <w:pPr>
        <w:pStyle w:val="Heading2"/>
        <w:rPr>
          <w:rFonts w:ascii="Times New Roman" w:hAnsi="Times New Roman" w:cs="Times New Roman"/>
          <w:color w:val="000000" w:themeColor="text1"/>
          <w:sz w:val="24"/>
          <w:szCs w:val="24"/>
        </w:rPr>
      </w:pPr>
      <w:bookmarkStart w:id="8" w:name="purpose-and-patterns"/>
      <w:r w:rsidRPr="000A0425">
        <w:rPr>
          <w:rFonts w:ascii="Times New Roman" w:hAnsi="Times New Roman" w:cs="Times New Roman"/>
          <w:color w:val="000000" w:themeColor="text1"/>
          <w:sz w:val="24"/>
          <w:szCs w:val="24"/>
        </w:rPr>
        <w:t>3.1 Purpose and patterns</w:t>
      </w:r>
    </w:p>
    <w:p w14:paraId="49910CF0" w14:textId="5B83BD56"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purpose of the model is to characterize how heterogeneity in the inference substrate that agents use to represent and reason about a shared task affects the coordination dynamics of recursive-mutual-belief teams. The baseline behavior we seek to preserve is that of the Extended Mutual Belief Model (EMBM) of Okabe et al. (2025), whose published curves show that (i) matched three-agent teams with the second and third belief layers reach higher team situation awareness than teams lacking those layers, and </w:t>
      </w:r>
      <w:r w:rsidRPr="000A0425">
        <w:rPr>
          <w:rFonts w:ascii="Times New Roman" w:hAnsi="Times New Roman" w:cs="Times New Roman"/>
          <w:color w:val="000000" w:themeColor="text1"/>
        </w:rPr>
        <w:t xml:space="preserve">(ii) matched team behavior is sensitive to threshold and scenario difficulty. Our extension is designed to probe two additional patterns that only emerge when substrates can differ across agents: a </w:t>
      </w:r>
      <w:r w:rsidRPr="000A0425">
        <w:rPr>
          <w:rFonts w:ascii="Times New Roman" w:hAnsi="Times New Roman" w:cs="Times New Roman"/>
          <w:i/>
          <w:iCs/>
          <w:color w:val="000000" w:themeColor="text1"/>
        </w:rPr>
        <w:t>sensitivity gain</w:t>
      </w:r>
      <w:r w:rsidRPr="000A0425">
        <w:rPr>
          <w:rFonts w:ascii="Times New Roman" w:hAnsi="Times New Roman" w:cs="Times New Roman"/>
          <w:color w:val="000000" w:themeColor="text1"/>
        </w:rPr>
        <w:t xml:space="preserve">, in which mismatched teams under </w:t>
      </w:r>
      <w:r w:rsidR="006869F4" w:rsidRPr="000A0425">
        <w:rPr>
          <w:rFonts w:ascii="Times New Roman" w:hAnsi="Times New Roman" w:cs="Times New Roman"/>
          <w:color w:val="000000" w:themeColor="text1"/>
        </w:rPr>
        <w:t xml:space="preserve">the </w:t>
      </w:r>
      <w:r w:rsidRPr="000A0425">
        <w:rPr>
          <w:rFonts w:ascii="Times New Roman" w:hAnsi="Times New Roman" w:cs="Times New Roman"/>
          <w:color w:val="000000" w:themeColor="text1"/>
        </w:rPr>
        <w:t xml:space="preserve">aware projection detect more inter-agent conflicts than matched teams, and an </w:t>
      </w:r>
      <w:r w:rsidRPr="000A0425">
        <w:rPr>
          <w:rFonts w:ascii="Times New Roman" w:hAnsi="Times New Roman" w:cs="Times New Roman"/>
          <w:i/>
          <w:iCs/>
          <w:color w:val="000000" w:themeColor="text1"/>
        </w:rPr>
        <w:t>inference quality loss</w:t>
      </w:r>
      <w:r w:rsidRPr="000A0425">
        <w:rPr>
          <w:rFonts w:ascii="Times New Roman" w:hAnsi="Times New Roman" w:cs="Times New Roman"/>
          <w:color w:val="000000" w:themeColor="text1"/>
        </w:rPr>
        <w:t>, in which the mismatched substrate degrades single-agent diagnostic accuracy. Section 5 reports these patterns and Section 6 develops their joint interpretation as a two-force account.</w:t>
      </w:r>
    </w:p>
    <w:p w14:paraId="49910CF1" w14:textId="77777777" w:rsidR="003D122F" w:rsidRPr="000A0425" w:rsidRDefault="007C1A26">
      <w:pPr>
        <w:pStyle w:val="Heading2"/>
        <w:rPr>
          <w:rFonts w:ascii="Times New Roman" w:hAnsi="Times New Roman" w:cs="Times New Roman"/>
          <w:color w:val="000000" w:themeColor="text1"/>
          <w:sz w:val="24"/>
          <w:szCs w:val="24"/>
        </w:rPr>
      </w:pPr>
      <w:bookmarkStart w:id="9" w:name="entities-state-variables-and-scales"/>
      <w:bookmarkEnd w:id="8"/>
      <w:r w:rsidRPr="000A0425">
        <w:rPr>
          <w:rFonts w:ascii="Times New Roman" w:hAnsi="Times New Roman" w:cs="Times New Roman"/>
          <w:color w:val="000000" w:themeColor="text1"/>
          <w:sz w:val="24"/>
          <w:szCs w:val="24"/>
        </w:rPr>
        <w:t>3.2 Entities, state variables, and scales</w:t>
      </w:r>
    </w:p>
    <w:p w14:paraId="49910CF2"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The model contains four kinds of entities.</w:t>
      </w:r>
    </w:p>
    <w:p w14:paraId="49910CF3" w14:textId="5EC24068"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Agents.</w:t>
      </w:r>
      <w:r w:rsidRPr="000A0425">
        <w:rPr>
          <w:rFonts w:ascii="Times New Roman" w:hAnsi="Times New Roman" w:cs="Times New Roman"/>
          <w:color w:val="000000" w:themeColor="text1"/>
        </w:rPr>
        <w:t xml:space="preserve"> Three agents, </w:t>
      </w:r>
      <w:r w:rsidR="006869F4" w:rsidRPr="000A0425">
        <w:rPr>
          <w:rFonts w:ascii="Times New Roman" w:hAnsi="Times New Roman" w:cs="Times New Roman"/>
          <w:color w:val="000000" w:themeColor="text1"/>
        </w:rPr>
        <w:t>labeled</w:t>
      </w:r>
      <w:r w:rsidRPr="000A0425">
        <w:rPr>
          <w:rFonts w:ascii="Times New Roman" w:hAnsi="Times New Roman" w:cs="Times New Roman"/>
          <w:color w:val="000000" w:themeColor="text1"/>
        </w:rPr>
        <w:t xml:space="preserve"> A, B, and C, jointly diagnose a shared 17-node Bayesian network. Each agent maintains seven internal belief structures </w:t>
      </w:r>
      <w:r w:rsidR="006869F4" w:rsidRPr="000A0425">
        <w:rPr>
          <w:rFonts w:ascii="Times New Roman" w:hAnsi="Times New Roman" w:cs="Times New Roman"/>
          <w:color w:val="000000" w:themeColor="text1"/>
        </w:rPr>
        <w:t>organized</w:t>
      </w:r>
      <w:r w:rsidRPr="000A0425">
        <w:rPr>
          <w:rFonts w:ascii="Times New Roman" w:hAnsi="Times New Roman" w:cs="Times New Roman"/>
          <w:color w:val="000000" w:themeColor="text1"/>
        </w:rPr>
        <w:t xml:space="preserve"> in three layers, following the EMBM of Mahardhika et al. (2016): one L1 self-cognition, two L2 direct beliefs (one per teammate), and four L3 projected beliefs (each teammate’s belief about each of the other two agents). Each belief structure is populated by an </w:t>
      </w:r>
      <w:r w:rsidRPr="000A0425">
        <w:rPr>
          <w:rFonts w:ascii="Times New Roman" w:hAnsi="Times New Roman" w:cs="Times New Roman"/>
          <w:i/>
          <w:iCs/>
          <w:color w:val="000000" w:themeColor="text1"/>
        </w:rPr>
        <w:t>inference engine</w:t>
      </w:r>
      <w:r w:rsidRPr="000A0425">
        <w:rPr>
          <w:rFonts w:ascii="Times New Roman" w:hAnsi="Times New Roman" w:cs="Times New Roman"/>
          <w:color w:val="000000" w:themeColor="text1"/>
        </w:rPr>
        <w:t xml:space="preserve"> — a computational object over the shared causal specification that implements the interface described in §3.7.1. The kind of engine that populates each belief structure is a design variable governed by the substrate-composition and </w:t>
      </w:r>
      <w:r w:rsidRPr="000A0425">
        <w:rPr>
          <w:rFonts w:ascii="Times New Roman" w:hAnsi="Times New Roman" w:cs="Times New Roman"/>
          <w:color w:val="000000" w:themeColor="text1"/>
        </w:rPr>
        <w:t>projection-mode manipulations of §4.</w:t>
      </w:r>
    </w:p>
    <w:p w14:paraId="49910CF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Belief structures.</w:t>
      </w:r>
      <w:r w:rsidRPr="000A0425">
        <w:rPr>
          <w:rFonts w:ascii="Times New Roman" w:hAnsi="Times New Roman" w:cs="Times New Roman"/>
          <w:color w:val="000000" w:themeColor="text1"/>
        </w:rPr>
        <w:t xml:space="preserve"> Each of the seven per-agent belief structures holds, at any point in time, a posterior distribution over each node’s state variable, a categorical diagnosis for each node (either a specific state or the sentinel </w:t>
      </w:r>
      <w:r w:rsidRPr="000A0425">
        <w:rPr>
          <w:rStyle w:val="VerbatimChar"/>
          <w:rFonts w:ascii="Times New Roman" w:hAnsi="Times New Roman" w:cs="Times New Roman"/>
          <w:color w:val="000000" w:themeColor="text1"/>
          <w:sz w:val="24"/>
        </w:rPr>
        <w:t>UNCERTAIN</w:t>
      </w:r>
      <w:r w:rsidRPr="000A0425">
        <w:rPr>
          <w:rFonts w:ascii="Times New Roman" w:hAnsi="Times New Roman" w:cs="Times New Roman"/>
          <w:color w:val="000000" w:themeColor="text1"/>
        </w:rPr>
        <w:t>), and a running record of evidence ingested so far. State cardinality varies by node (2 or 3 states in both networks).</w:t>
      </w:r>
    </w:p>
    <w:p w14:paraId="49910CF5"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lastRenderedPageBreak/>
        <w:t>The causal specification.</w:t>
      </w:r>
      <w:r w:rsidRPr="000A0425">
        <w:rPr>
          <w:rFonts w:ascii="Times New Roman" w:hAnsi="Times New Roman" w:cs="Times New Roman"/>
          <w:color w:val="000000" w:themeColor="text1"/>
        </w:rPr>
        <w:t xml:space="preserve"> A 17-node directed acyclic graph over discrete-state nodes with associated conditional probability tables (CPTs). Ten nodes are observable to at least one agent; seven are unobservable inference targets that must be reasoned about via projection and communication. The specification is held constant across all cells of the experimental design; it is described concretely in §3.7.5.</w:t>
      </w:r>
    </w:p>
    <w:p w14:paraId="49910CF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The scenario.</w:t>
      </w:r>
      <w:r w:rsidRPr="000A0425">
        <w:rPr>
          <w:rFonts w:ascii="Times New Roman" w:hAnsi="Times New Roman" w:cs="Times New Roman"/>
          <w:color w:val="000000" w:themeColor="text1"/>
        </w:rPr>
        <w:t xml:space="preserve"> A ground-truth assignment of states to all 17 nodes, drawn from the network’s joint distribution. A scenario represents a specific fault configuration the team must diagnose.</w:t>
      </w:r>
    </w:p>
    <w:p w14:paraId="49910CF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Scales.</w:t>
      </w:r>
      <w:r w:rsidRPr="000A0425">
        <w:rPr>
          <w:rFonts w:ascii="Times New Roman" w:hAnsi="Times New Roman" w:cs="Times New Roman"/>
          <w:color w:val="000000" w:themeColor="text1"/>
        </w:rPr>
        <w:t xml:space="preserve"> The model has no spatial extent. Time is </w:t>
      </w:r>
      <w:proofErr w:type="gramStart"/>
      <w:r w:rsidRPr="000A0425">
        <w:rPr>
          <w:rFonts w:ascii="Times New Roman" w:hAnsi="Times New Roman" w:cs="Times New Roman"/>
          <w:color w:val="000000" w:themeColor="text1"/>
        </w:rPr>
        <w:t>discrete</w:t>
      </w:r>
      <w:proofErr w:type="gramEnd"/>
      <w:r w:rsidRPr="000A0425">
        <w:rPr>
          <w:rFonts w:ascii="Times New Roman" w:hAnsi="Times New Roman" w:cs="Times New Roman"/>
          <w:color w:val="000000" w:themeColor="text1"/>
        </w:rPr>
        <w:t xml:space="preserve">. A run consists of an </w:t>
      </w:r>
      <w:r w:rsidRPr="000A0425">
        <w:rPr>
          <w:rFonts w:ascii="Times New Roman" w:hAnsi="Times New Roman" w:cs="Times New Roman"/>
          <w:i/>
          <w:iCs/>
          <w:color w:val="000000" w:themeColor="text1"/>
        </w:rPr>
        <w:t>observation phase</w:t>
      </w:r>
      <w:r w:rsidRPr="000A0425">
        <w:rPr>
          <w:rFonts w:ascii="Times New Roman" w:hAnsi="Times New Roman" w:cs="Times New Roman"/>
          <w:color w:val="000000" w:themeColor="text1"/>
        </w:rPr>
        <w:t xml:space="preserve"> of exactly 15 steps (each of the three agents observes each of its five assigned nodes once), followed by a </w:t>
      </w:r>
      <w:r w:rsidRPr="000A0425">
        <w:rPr>
          <w:rFonts w:ascii="Times New Roman" w:hAnsi="Times New Roman" w:cs="Times New Roman"/>
          <w:i/>
          <w:iCs/>
          <w:color w:val="000000" w:themeColor="text1"/>
        </w:rPr>
        <w:t>cooperation phase</w:t>
      </w:r>
      <w:r w:rsidRPr="000A0425">
        <w:rPr>
          <w:rFonts w:ascii="Times New Roman" w:hAnsi="Times New Roman" w:cs="Times New Roman"/>
          <w:color w:val="000000" w:themeColor="text1"/>
        </w:rPr>
        <w:t xml:space="preserve"> of variable length (bounded above by 100 steps). Cell-level replication uses fifteen independent runs per (scenario, cell) combination.</w:t>
      </w:r>
    </w:p>
    <w:p w14:paraId="49910CF8" w14:textId="77777777" w:rsidR="003D122F" w:rsidRPr="000A0425" w:rsidRDefault="007C1A26">
      <w:pPr>
        <w:pStyle w:val="Heading2"/>
        <w:rPr>
          <w:rFonts w:ascii="Times New Roman" w:hAnsi="Times New Roman" w:cs="Times New Roman"/>
          <w:color w:val="000000" w:themeColor="text1"/>
          <w:sz w:val="24"/>
          <w:szCs w:val="24"/>
        </w:rPr>
      </w:pPr>
      <w:bookmarkStart w:id="10" w:name="process-overview-and-scheduling"/>
      <w:bookmarkEnd w:id="9"/>
      <w:r w:rsidRPr="000A0425">
        <w:rPr>
          <w:rFonts w:ascii="Times New Roman" w:hAnsi="Times New Roman" w:cs="Times New Roman"/>
          <w:color w:val="000000" w:themeColor="text1"/>
          <w:sz w:val="24"/>
          <w:szCs w:val="24"/>
        </w:rPr>
        <w:t>3.3 Process overview and scheduling</w:t>
      </w:r>
    </w:p>
    <w:p w14:paraId="49910CF9"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Time advances in discrete steps. At t = 0, all agents have empty belief structures and no evidence. The two phases execute in sequence.</w:t>
      </w:r>
    </w:p>
    <w:p w14:paraId="49910CFA" w14:textId="348E40BC"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Observation phase (steps 1–15).</w:t>
      </w:r>
      <w:r w:rsidRPr="000A0425">
        <w:rPr>
          <w:rFonts w:ascii="Times New Roman" w:hAnsi="Times New Roman" w:cs="Times New Roman"/>
          <w:color w:val="000000" w:themeColor="text1"/>
        </w:rPr>
        <w:t xml:space="preserve"> At each step, one agent–node pair is drawn from the pending observation queue (</w:t>
      </w:r>
      <w:r w:rsidR="00B60280" w:rsidRPr="000A0425">
        <w:rPr>
          <w:rFonts w:ascii="Times New Roman" w:hAnsi="Times New Roman" w:cs="Times New Roman"/>
          <w:color w:val="000000" w:themeColor="text1"/>
        </w:rPr>
        <w:t>initialized</w:t>
      </w:r>
      <w:r w:rsidRPr="000A0425">
        <w:rPr>
          <w:rFonts w:ascii="Times New Roman" w:hAnsi="Times New Roman" w:cs="Times New Roman"/>
          <w:color w:val="000000" w:themeColor="text1"/>
        </w:rPr>
        <w:t xml:space="preserve"> with three sub-queues of five agent-node pairs each). The agent observes the node’s ground-truth state, ingests this as hard evidence into its L1 self-cognition, then propagates the update to its L2 and L3 belief structures via a downward-effect submodel (agents update their beliefs about teammates’ beliefs based on their own new observation, following the intra-agent metacognitive control specified by Okabe et al. (2025, §2.4)). Observation-phase step order is </w:t>
      </w:r>
      <w:r w:rsidR="00B60280" w:rsidRPr="000A0425">
        <w:rPr>
          <w:rFonts w:ascii="Times New Roman" w:hAnsi="Times New Roman" w:cs="Times New Roman"/>
          <w:color w:val="000000" w:themeColor="text1"/>
        </w:rPr>
        <w:t>randomized</w:t>
      </w:r>
      <w:r w:rsidRPr="000A0425">
        <w:rPr>
          <w:rFonts w:ascii="Times New Roman" w:hAnsi="Times New Roman" w:cs="Times New Roman"/>
          <w:color w:val="000000" w:themeColor="text1"/>
        </w:rPr>
        <w:t xml:space="preserve"> per run.</w:t>
      </w:r>
    </w:p>
    <w:p w14:paraId="49910CFB"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Cooperation phase (steps 16 to termination).</w:t>
      </w:r>
      <w:r w:rsidRPr="000A0425">
        <w:rPr>
          <w:rFonts w:ascii="Times New Roman" w:hAnsi="Times New Roman" w:cs="Times New Roman"/>
          <w:color w:val="000000" w:themeColor="text1"/>
        </w:rPr>
        <w:t xml:space="preserve"> At each step, one agent is selected uniformly at random from the set of agents with at least one pending detected conflict. The selected agent identifies its highest-importance conflict via the mutual-information node importance measure (§3.7.6) and executes one of three actions to resolve it: </w:t>
      </w:r>
      <w:r w:rsidRPr="000A0425">
        <w:rPr>
          <w:rStyle w:val="VerbatimChar"/>
          <w:rFonts w:ascii="Times New Roman" w:hAnsi="Times New Roman" w:cs="Times New Roman"/>
          <w:color w:val="000000" w:themeColor="text1"/>
          <w:sz w:val="24"/>
        </w:rPr>
        <w:t>look-at</w:t>
      </w:r>
      <w:r w:rsidRPr="000A0425">
        <w:rPr>
          <w:rFonts w:ascii="Times New Roman" w:hAnsi="Times New Roman" w:cs="Times New Roman"/>
          <w:color w:val="000000" w:themeColor="text1"/>
        </w:rPr>
        <w:t xml:space="preserve"> (a direct observation of one of its own observable nodes); </w:t>
      </w:r>
      <w:r w:rsidRPr="000A0425">
        <w:rPr>
          <w:rStyle w:val="VerbatimChar"/>
          <w:rFonts w:ascii="Times New Roman" w:hAnsi="Times New Roman" w:cs="Times New Roman"/>
          <w:color w:val="000000" w:themeColor="text1"/>
          <w:sz w:val="24"/>
        </w:rPr>
        <w:t>query</w:t>
      </w:r>
      <w:r w:rsidRPr="000A0425">
        <w:rPr>
          <w:rFonts w:ascii="Times New Roman" w:hAnsi="Times New Roman" w:cs="Times New Roman"/>
          <w:color w:val="000000" w:themeColor="text1"/>
        </w:rPr>
        <w:t xml:space="preserve"> (asking a teammate for that teammate’s diagnosis of a node); or </w:t>
      </w:r>
      <w:r w:rsidRPr="000A0425">
        <w:rPr>
          <w:rStyle w:val="VerbatimChar"/>
          <w:rFonts w:ascii="Times New Roman" w:hAnsi="Times New Roman" w:cs="Times New Roman"/>
          <w:color w:val="000000" w:themeColor="text1"/>
          <w:sz w:val="24"/>
        </w:rPr>
        <w:t>inform</w:t>
      </w:r>
      <w:r w:rsidRPr="000A0425">
        <w:rPr>
          <w:rFonts w:ascii="Times New Roman" w:hAnsi="Times New Roman" w:cs="Times New Roman"/>
          <w:color w:val="000000" w:themeColor="text1"/>
        </w:rPr>
        <w:t xml:space="preserve"> (asserting the agent’s own diagnosis of a node to a teammate). The actio</w:t>
      </w:r>
      <w:r w:rsidRPr="000A0425">
        <w:rPr>
          <w:rFonts w:ascii="Times New Roman" w:hAnsi="Times New Roman" w:cs="Times New Roman"/>
          <w:color w:val="000000" w:themeColor="text1"/>
        </w:rPr>
        <w:t>n is executed, evidence flows to the appropriate belief structures of sender, receiver, and the third agent (who hears the exchange), and all agents update their conflict lists. Cross-substrate evidence passing invokes the translation submodel (§3.7.4). The cooperation phase terminates when (i) no agent has any pending conflicts, (ii) five consecutive steps produce no change to any agent’s committed diagnosis vector, or (iii) 100 cooperation-phase actions have been executed.</w:t>
      </w:r>
    </w:p>
    <w:p w14:paraId="49910CFC" w14:textId="77777777" w:rsidR="003D122F" w:rsidRPr="000A0425" w:rsidRDefault="007C1A26">
      <w:pPr>
        <w:pStyle w:val="Heading2"/>
        <w:rPr>
          <w:rFonts w:ascii="Times New Roman" w:hAnsi="Times New Roman" w:cs="Times New Roman"/>
          <w:color w:val="000000" w:themeColor="text1"/>
          <w:sz w:val="24"/>
          <w:szCs w:val="24"/>
        </w:rPr>
      </w:pPr>
      <w:bookmarkStart w:id="11" w:name="design-concepts"/>
      <w:bookmarkEnd w:id="10"/>
      <w:r w:rsidRPr="000A0425">
        <w:rPr>
          <w:rFonts w:ascii="Times New Roman" w:hAnsi="Times New Roman" w:cs="Times New Roman"/>
          <w:color w:val="000000" w:themeColor="text1"/>
          <w:sz w:val="24"/>
          <w:szCs w:val="24"/>
        </w:rPr>
        <w:t>3.4 Design concepts</w:t>
      </w:r>
    </w:p>
    <w:p w14:paraId="49910CFD"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b/>
          <w:bCs/>
          <w:color w:val="000000" w:themeColor="text1"/>
        </w:rPr>
        <w:t>Basic principles.</w:t>
      </w:r>
      <w:r w:rsidRPr="000A0425">
        <w:rPr>
          <w:rFonts w:ascii="Times New Roman" w:hAnsi="Times New Roman" w:cs="Times New Roman"/>
          <w:color w:val="000000" w:themeColor="text1"/>
        </w:rPr>
        <w:t xml:space="preserve"> The model rests on the recursive-mutual-belief formalism of Kanno et al. (2013), extended to three-person teams with mental subgrouping fixed at level one by Mahardhika et al. (2016), and further extended by Okabe et al. (2025) with a Bayesian belief network as the specific inference substrate for each of the seven belief structures per agent. Our contribution replaces the substrate-homogeneity assumption of Okabe et al. with a pluggable-substrate architecture.</w:t>
      </w:r>
    </w:p>
    <w:p w14:paraId="49910CFE"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lastRenderedPageBreak/>
        <w:t>Emergence.</w:t>
      </w:r>
      <w:r w:rsidRPr="000A0425">
        <w:rPr>
          <w:rFonts w:ascii="Times New Roman" w:hAnsi="Times New Roman" w:cs="Times New Roman"/>
          <w:color w:val="000000" w:themeColor="text1"/>
        </w:rPr>
        <w:t xml:space="preserve"> The two team-level phenomena we study — sensitivity gain and inference quality loss — are emergent in the technical sense: neither is representable in the state of any single agent at any single time step. Sensitivity gain is only measurable across paired conditions (matched vs mismatched) at the level of the initial-conflict snapshot; inference quality loss is only measurable at the end of the cooperation phase against ground truth.</w:t>
      </w:r>
    </w:p>
    <w:p w14:paraId="49910CFF" w14:textId="7F47FE1B"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Adaptation.</w:t>
      </w:r>
      <w:r w:rsidRPr="000A0425">
        <w:rPr>
          <w:rFonts w:ascii="Times New Roman" w:hAnsi="Times New Roman" w:cs="Times New Roman"/>
          <w:color w:val="000000" w:themeColor="text1"/>
        </w:rPr>
        <w:t xml:space="preserve"> Agents adapt their beliefs by </w:t>
      </w:r>
      <w:proofErr w:type="gramStart"/>
      <w:r w:rsidRPr="000A0425">
        <w:rPr>
          <w:rFonts w:ascii="Times New Roman" w:hAnsi="Times New Roman" w:cs="Times New Roman"/>
          <w:color w:val="000000" w:themeColor="text1"/>
        </w:rPr>
        <w:t>ingesting</w:t>
      </w:r>
      <w:proofErr w:type="gramEnd"/>
      <w:r w:rsidRPr="000A0425">
        <w:rPr>
          <w:rFonts w:ascii="Times New Roman" w:hAnsi="Times New Roman" w:cs="Times New Roman"/>
          <w:color w:val="000000" w:themeColor="text1"/>
        </w:rPr>
        <w:t xml:space="preserve"> evidence from observation and communication, but they do not adapt their inference substrate or its parameters during a run. Substrate choice is fixed at </w:t>
      </w:r>
      <w:r w:rsidR="006869F4" w:rsidRPr="000A0425">
        <w:rPr>
          <w:rFonts w:ascii="Times New Roman" w:hAnsi="Times New Roman" w:cs="Times New Roman"/>
          <w:color w:val="000000" w:themeColor="text1"/>
        </w:rPr>
        <w:t>initialization</w:t>
      </w:r>
      <w:r w:rsidRPr="000A0425">
        <w:rPr>
          <w:rFonts w:ascii="Times New Roman" w:hAnsi="Times New Roman" w:cs="Times New Roman"/>
          <w:color w:val="000000" w:themeColor="text1"/>
        </w:rPr>
        <w:t>.</w:t>
      </w:r>
    </w:p>
    <w:p w14:paraId="49910D00" w14:textId="718CF375"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Objectives.</w:t>
      </w:r>
      <w:r w:rsidRPr="000A0425">
        <w:rPr>
          <w:rFonts w:ascii="Times New Roman" w:hAnsi="Times New Roman" w:cs="Times New Roman"/>
          <w:color w:val="000000" w:themeColor="text1"/>
        </w:rPr>
        <w:t xml:space="preserve"> Agents have no explicit utility function. Actions are chosen to resolve the highest-importance detected conflict, where importance is defined by mutual information following Okabe et al. (2025, Eq. 3). This is a rule-based rather than </w:t>
      </w:r>
      <w:r w:rsidR="006869F4" w:rsidRPr="000A0425">
        <w:rPr>
          <w:rFonts w:ascii="Times New Roman" w:hAnsi="Times New Roman" w:cs="Times New Roman"/>
          <w:color w:val="000000" w:themeColor="text1"/>
        </w:rPr>
        <w:t>optimization-based</w:t>
      </w:r>
      <w:r w:rsidRPr="000A0425">
        <w:rPr>
          <w:rFonts w:ascii="Times New Roman" w:hAnsi="Times New Roman" w:cs="Times New Roman"/>
          <w:color w:val="000000" w:themeColor="text1"/>
        </w:rPr>
        <w:t xml:space="preserve"> objective structure.</w:t>
      </w:r>
    </w:p>
    <w:p w14:paraId="49910D01" w14:textId="0CDA13E2"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Learning.</w:t>
      </w:r>
      <w:r w:rsidRPr="000A0425">
        <w:rPr>
          <w:rFonts w:ascii="Times New Roman" w:hAnsi="Times New Roman" w:cs="Times New Roman"/>
          <w:color w:val="000000" w:themeColor="text1"/>
        </w:rPr>
        <w:t xml:space="preserve"> No agent learns. The inference engines are hand-specified from the causal specification</w:t>
      </w:r>
      <w:r w:rsidR="006869F4" w:rsidRPr="000A0425">
        <w:rPr>
          <w:rFonts w:ascii="Times New Roman" w:hAnsi="Times New Roman" w:cs="Times New Roman"/>
          <w:color w:val="000000" w:themeColor="text1"/>
        </w:rPr>
        <w:t xml:space="preserve"> rather than</w:t>
      </w:r>
      <w:r w:rsidRPr="000A0425">
        <w:rPr>
          <w:rFonts w:ascii="Times New Roman" w:hAnsi="Times New Roman" w:cs="Times New Roman"/>
          <w:color w:val="000000" w:themeColor="text1"/>
        </w:rPr>
        <w:t xml:space="preserve"> trained on data.</w:t>
      </w:r>
    </w:p>
    <w:p w14:paraId="49910D02"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Prediction.</w:t>
      </w:r>
      <w:r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Prediction is embedded in the L3 projected-belief structures: each agent maintains a prediction of what each teammate believes about the third teammate. The projection-mode manipulation (§3.7.2) varies whether these predictions use the target’s true substrate (aware) or the owner’s substrate (naive).</w:t>
      </w:r>
    </w:p>
    <w:p w14:paraId="49910D03" w14:textId="48D1053F"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Sensing.</w:t>
      </w:r>
      <w:r w:rsidRPr="000A0425">
        <w:rPr>
          <w:rFonts w:ascii="Times New Roman" w:hAnsi="Times New Roman" w:cs="Times New Roman"/>
          <w:color w:val="000000" w:themeColor="text1"/>
        </w:rPr>
        <w:t xml:space="preserve"> Agents sense in two ways: direct observation of assigned nodes (perfect, deterministic), and communication with teammates (evidence transmitted through the translation layer of §3.7.4). No agent has direct access to any other agent’s internal state; every </w:t>
      </w:r>
      <w:r w:rsidR="006869F4" w:rsidRPr="000A0425">
        <w:rPr>
          <w:rFonts w:ascii="Times New Roman" w:hAnsi="Times New Roman" w:cs="Times New Roman"/>
          <w:color w:val="000000" w:themeColor="text1"/>
        </w:rPr>
        <w:t>teammate’s</w:t>
      </w:r>
      <w:r w:rsidRPr="000A0425">
        <w:rPr>
          <w:rFonts w:ascii="Times New Roman" w:hAnsi="Times New Roman" w:cs="Times New Roman"/>
          <w:color w:val="000000" w:themeColor="text1"/>
        </w:rPr>
        <w:t xml:space="preserve"> belief is model-based.</w:t>
      </w:r>
    </w:p>
    <w:p w14:paraId="49910D0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Interaction.</w:t>
      </w:r>
      <w:r w:rsidRPr="000A0425">
        <w:rPr>
          <w:rFonts w:ascii="Times New Roman" w:hAnsi="Times New Roman" w:cs="Times New Roman"/>
          <w:color w:val="000000" w:themeColor="text1"/>
        </w:rPr>
        <w:t xml:space="preserve"> Agents interact through communication actions (</w:t>
      </w:r>
      <w:r w:rsidRPr="000A0425">
        <w:rPr>
          <w:rStyle w:val="VerbatimChar"/>
          <w:rFonts w:ascii="Times New Roman" w:hAnsi="Times New Roman" w:cs="Times New Roman"/>
          <w:color w:val="000000" w:themeColor="text1"/>
          <w:sz w:val="24"/>
        </w:rPr>
        <w:t>query</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inform</w:t>
      </w:r>
      <w:r w:rsidRPr="000A0425">
        <w:rPr>
          <w:rFonts w:ascii="Times New Roman" w:hAnsi="Times New Roman" w:cs="Times New Roman"/>
          <w:color w:val="000000" w:themeColor="text1"/>
        </w:rPr>
        <w:t>) that always involve a sender and a receiver, with the third agent hearing the exchange and updating its own belief structures accordingly.</w:t>
      </w:r>
    </w:p>
    <w:p w14:paraId="49910D05" w14:textId="182C85A2"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Stochasticity.</w:t>
      </w:r>
      <w:r w:rsidRPr="000A0425">
        <w:rPr>
          <w:rFonts w:ascii="Times New Roman" w:hAnsi="Times New Roman" w:cs="Times New Roman"/>
          <w:color w:val="000000" w:themeColor="text1"/>
        </w:rPr>
        <w:t xml:space="preserve"> Three sources: (i) the ground-truth scenario is sampled from the joint distribution of the network at </w:t>
      </w:r>
      <w:r w:rsidR="00B60280" w:rsidRPr="000A0425">
        <w:rPr>
          <w:rFonts w:ascii="Times New Roman" w:hAnsi="Times New Roman" w:cs="Times New Roman"/>
          <w:color w:val="000000" w:themeColor="text1"/>
        </w:rPr>
        <w:t>initialization; (ii) observation-phase step order is randomized</w:t>
      </w:r>
      <w:r w:rsidRPr="000A0425">
        <w:rPr>
          <w:rFonts w:ascii="Times New Roman" w:hAnsi="Times New Roman" w:cs="Times New Roman"/>
          <w:color w:val="000000" w:themeColor="text1"/>
        </w:rPr>
        <w:t>; (iii) cooperation-phase agent selection is uniform at random from the set of agents with pending conflicts. All stochasticity is seeded per (cell, scenario, replicate) combination for reproducibility.</w:t>
      </w:r>
    </w:p>
    <w:p w14:paraId="49910D0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Collectives.</w:t>
      </w:r>
      <w:r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The three-agent team is the only collective. Mental subgrouping in the sense of Mahardhika et al. (2016) is fixed at level one — each agent models each other agent individually. Larger teams that would require subgrouping are discussed as a scope limitation in §6.5.</w:t>
      </w:r>
    </w:p>
    <w:p w14:paraId="49910D0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Observation.</w:t>
      </w:r>
      <w:r w:rsidRPr="000A0425">
        <w:rPr>
          <w:rFonts w:ascii="Times New Roman" w:hAnsi="Times New Roman" w:cs="Times New Roman"/>
          <w:color w:val="000000" w:themeColor="text1"/>
        </w:rPr>
        <w:t xml:space="preserve"> The model records team accuracy (fraction of correctly diagnosed nodes averaged across the three agents), the initial conflict count (total conflicts pending </w:t>
      </w:r>
      <w:proofErr w:type="gramStart"/>
      <w:r w:rsidRPr="000A0425">
        <w:rPr>
          <w:rFonts w:ascii="Times New Roman" w:hAnsi="Times New Roman" w:cs="Times New Roman"/>
          <w:color w:val="000000" w:themeColor="text1"/>
        </w:rPr>
        <w:t>at the moment</w:t>
      </w:r>
      <w:proofErr w:type="gramEnd"/>
      <w:r w:rsidRPr="000A0425">
        <w:rPr>
          <w:rFonts w:ascii="Times New Roman" w:hAnsi="Times New Roman" w:cs="Times New Roman"/>
          <w:color w:val="000000" w:themeColor="text1"/>
        </w:rPr>
        <w:t xml:space="preserve"> cooperation begins), and, for the phantom/real decomposition of §5.6, the ground-truth correctness of the observing agent’s own L1 belief </w:t>
      </w:r>
      <w:proofErr w:type="gramStart"/>
      <w:r w:rsidRPr="000A0425">
        <w:rPr>
          <w:rFonts w:ascii="Times New Roman" w:hAnsi="Times New Roman" w:cs="Times New Roman"/>
          <w:color w:val="000000" w:themeColor="text1"/>
        </w:rPr>
        <w:t>at the moment</w:t>
      </w:r>
      <w:proofErr w:type="gramEnd"/>
      <w:r w:rsidRPr="000A0425">
        <w:rPr>
          <w:rFonts w:ascii="Times New Roman" w:hAnsi="Times New Roman" w:cs="Times New Roman"/>
          <w:color w:val="000000" w:themeColor="text1"/>
        </w:rPr>
        <w:t xml:space="preserve"> each conflict is detected. Section 4.3 gives the formal definitions.</w:t>
      </w:r>
    </w:p>
    <w:p w14:paraId="49910D08" w14:textId="77777777" w:rsidR="003D122F" w:rsidRPr="000A0425" w:rsidRDefault="007C1A26">
      <w:pPr>
        <w:pStyle w:val="Heading2"/>
        <w:rPr>
          <w:rFonts w:ascii="Times New Roman" w:hAnsi="Times New Roman" w:cs="Times New Roman"/>
          <w:color w:val="000000" w:themeColor="text1"/>
          <w:sz w:val="24"/>
          <w:szCs w:val="24"/>
        </w:rPr>
      </w:pPr>
      <w:bookmarkStart w:id="12" w:name="initialization"/>
      <w:bookmarkEnd w:id="11"/>
      <w:r w:rsidRPr="000A0425">
        <w:rPr>
          <w:rFonts w:ascii="Times New Roman" w:hAnsi="Times New Roman" w:cs="Times New Roman"/>
          <w:color w:val="000000" w:themeColor="text1"/>
          <w:sz w:val="24"/>
          <w:szCs w:val="24"/>
        </w:rPr>
        <w:lastRenderedPageBreak/>
        <w:t>3.5 Initialization</w:t>
      </w:r>
    </w:p>
    <w:p w14:paraId="49910D09"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At t = 0: the causal specification is loaded (§3.6); a ground-truth scenario is drawn or loaded; each agent’s seven belief structures are instantiated with the appropriate engine kinds according to the cell’s substrate composition and projection mode; and each belief structure is initialised to the network’s prior marginals (i.e., no evidence has been ingested yet). The observation queue for each agent is populated with that agent’s four observable nodes plus one further node drawn to reach five per agent, </w:t>
      </w:r>
      <w:r w:rsidRPr="000A0425">
        <w:rPr>
          <w:rFonts w:ascii="Times New Roman" w:hAnsi="Times New Roman" w:cs="Times New Roman"/>
          <w:color w:val="000000" w:themeColor="text1"/>
        </w:rPr>
        <w:t>following the observability partition of §3.7.5.</w:t>
      </w:r>
    </w:p>
    <w:p w14:paraId="49910D0A" w14:textId="77777777" w:rsidR="003D122F" w:rsidRPr="000A0425" w:rsidRDefault="007C1A26">
      <w:pPr>
        <w:pStyle w:val="Heading2"/>
        <w:rPr>
          <w:rFonts w:ascii="Times New Roman" w:hAnsi="Times New Roman" w:cs="Times New Roman"/>
          <w:color w:val="000000" w:themeColor="text1"/>
          <w:sz w:val="24"/>
          <w:szCs w:val="24"/>
        </w:rPr>
      </w:pPr>
      <w:bookmarkStart w:id="13" w:name="input-data"/>
      <w:bookmarkEnd w:id="12"/>
      <w:r w:rsidRPr="000A0425">
        <w:rPr>
          <w:rFonts w:ascii="Times New Roman" w:hAnsi="Times New Roman" w:cs="Times New Roman"/>
          <w:color w:val="000000" w:themeColor="text1"/>
          <w:sz w:val="24"/>
          <w:szCs w:val="24"/>
        </w:rPr>
        <w:t>3.6 Input data</w:t>
      </w:r>
    </w:p>
    <w:p w14:paraId="49910D0B"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The model consumes three kinds of input.</w:t>
      </w:r>
    </w:p>
    <w:p w14:paraId="49910D0C"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Causal specifications.</w:t>
      </w:r>
      <w:r w:rsidRPr="000A0425">
        <w:rPr>
          <w:rFonts w:ascii="Times New Roman" w:hAnsi="Times New Roman" w:cs="Times New Roman"/>
          <w:color w:val="000000" w:themeColor="text1"/>
        </w:rPr>
        <w:t xml:space="preserve"> For the Kanno network, we load Okabe et al.’s original Netica specification (</w:t>
      </w:r>
      <w:r w:rsidRPr="000A0425">
        <w:rPr>
          <w:rStyle w:val="VerbatimChar"/>
          <w:rFonts w:ascii="Times New Roman" w:hAnsi="Times New Roman" w:cs="Times New Roman"/>
          <w:color w:val="000000" w:themeColor="text1"/>
          <w:sz w:val="24"/>
        </w:rPr>
        <w:t>agent1.dne</w:t>
      </w:r>
      <w:r w:rsidRPr="000A0425">
        <w:rPr>
          <w:rFonts w:ascii="Times New Roman" w:hAnsi="Times New Roman" w:cs="Times New Roman"/>
          <w:color w:val="000000" w:themeColor="text1"/>
        </w:rPr>
        <w:t>) via a Netica file parser. For Domain17, we procedurally generate the specification from a fixed random seed (see §3.7.5).</w:t>
      </w:r>
    </w:p>
    <w:p w14:paraId="49910D0D"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Scenario pools.</w:t>
      </w:r>
      <w:r w:rsidRPr="000A0425">
        <w:rPr>
          <w:rFonts w:ascii="Times New Roman" w:hAnsi="Times New Roman" w:cs="Times New Roman"/>
          <w:color w:val="000000" w:themeColor="text1"/>
        </w:rPr>
        <w:t xml:space="preserve"> For each network, eight hard fault scenarios are pre-sampled from a pool of 120 scenarios drawn from the network’s joint distribution. Hardness is ranked by the number of non-nominal-state nodes in the ground-truth assignment (§4.2). The pools are serialised for reproducibility.</w:t>
      </w:r>
    </w:p>
    <w:p w14:paraId="49910D0E"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Cell configuration.</w:t>
      </w:r>
      <w:r w:rsidRPr="000A0425">
        <w:rPr>
          <w:rFonts w:ascii="Times New Roman" w:hAnsi="Times New Roman" w:cs="Times New Roman"/>
          <w:color w:val="000000" w:themeColor="text1"/>
        </w:rPr>
        <w:t xml:space="preserve"> Each experimental cell specifies (network, substrate-composition axis, projection mode, threshold THD, replication count) as an input record. The runner scripts (</w:t>
      </w:r>
      <w:r w:rsidRPr="000A0425">
        <w:rPr>
          <w:rStyle w:val="VerbatimChar"/>
          <w:rFonts w:ascii="Times New Roman" w:hAnsi="Times New Roman" w:cs="Times New Roman"/>
          <w:color w:val="000000" w:themeColor="text1"/>
          <w:sz w:val="24"/>
        </w:rPr>
        <w:t>run_conflict_instrument.py</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run_dual_metric.py</w:t>
      </w:r>
      <w:r w:rsidRPr="000A0425">
        <w:rPr>
          <w:rFonts w:ascii="Times New Roman" w:hAnsi="Times New Roman" w:cs="Times New Roman"/>
          <w:color w:val="000000" w:themeColor="text1"/>
        </w:rPr>
        <w:t>) enumerate cells and dispatch runs.</w:t>
      </w:r>
    </w:p>
    <w:p w14:paraId="49910D0F" w14:textId="77777777" w:rsidR="003D122F" w:rsidRPr="000A0425" w:rsidRDefault="007C1A26">
      <w:pPr>
        <w:pStyle w:val="Heading2"/>
        <w:rPr>
          <w:rFonts w:ascii="Times New Roman" w:hAnsi="Times New Roman" w:cs="Times New Roman"/>
          <w:color w:val="000000" w:themeColor="text1"/>
          <w:sz w:val="24"/>
          <w:szCs w:val="24"/>
        </w:rPr>
      </w:pPr>
      <w:bookmarkStart w:id="14" w:name="submodels"/>
      <w:bookmarkEnd w:id="13"/>
      <w:r w:rsidRPr="000A0425">
        <w:rPr>
          <w:rFonts w:ascii="Times New Roman" w:hAnsi="Times New Roman" w:cs="Times New Roman"/>
          <w:color w:val="000000" w:themeColor="text1"/>
          <w:sz w:val="24"/>
          <w:szCs w:val="24"/>
        </w:rPr>
        <w:t>3.7 Submodels</w:t>
      </w:r>
    </w:p>
    <w:p w14:paraId="49910D10" w14:textId="77777777" w:rsidR="003D122F" w:rsidRPr="000A0425" w:rsidRDefault="007C1A26">
      <w:pPr>
        <w:pStyle w:val="Heading3"/>
        <w:rPr>
          <w:rFonts w:ascii="Times New Roman" w:hAnsi="Times New Roman" w:cs="Times New Roman"/>
          <w:color w:val="000000" w:themeColor="text1"/>
        </w:rPr>
      </w:pPr>
      <w:bookmarkStart w:id="15" w:name="inference-engines"/>
      <w:r w:rsidRPr="000A0425">
        <w:rPr>
          <w:rFonts w:ascii="Times New Roman" w:hAnsi="Times New Roman" w:cs="Times New Roman"/>
          <w:color w:val="000000" w:themeColor="text1"/>
        </w:rPr>
        <w:t>3.7.1 Inference engines</w:t>
      </w:r>
    </w:p>
    <w:p w14:paraId="49910D11"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Each of the seven belief structures per agent is an </w:t>
      </w:r>
      <w:r w:rsidRPr="000A0425">
        <w:rPr>
          <w:rFonts w:ascii="Times New Roman" w:hAnsi="Times New Roman" w:cs="Times New Roman"/>
          <w:i/>
          <w:iCs/>
          <w:color w:val="000000" w:themeColor="text1"/>
        </w:rPr>
        <w:t>inference engine</w:t>
      </w:r>
      <w:r w:rsidRPr="000A0425">
        <w:rPr>
          <w:rFonts w:ascii="Times New Roman" w:hAnsi="Times New Roman" w:cs="Times New Roman"/>
          <w:color w:val="000000" w:themeColor="text1"/>
        </w:rPr>
        <w:t xml:space="preserve"> implementing the interface:</w:t>
      </w:r>
    </w:p>
    <w:p w14:paraId="49910D12" w14:textId="77777777" w:rsidR="003D122F" w:rsidRPr="000A0425" w:rsidRDefault="007C1A26">
      <w:pPr>
        <w:pStyle w:val="SourceCode"/>
        <w:rPr>
          <w:rFonts w:ascii="Times New Roman" w:hAnsi="Times New Roman" w:cs="Times New Roman"/>
          <w:color w:val="000000" w:themeColor="text1"/>
        </w:rPr>
      </w:pPr>
      <w:r w:rsidRPr="000A0425">
        <w:rPr>
          <w:rStyle w:val="VerbatimChar"/>
          <w:rFonts w:ascii="Times New Roman" w:hAnsi="Times New Roman" w:cs="Times New Roman"/>
          <w:color w:val="000000" w:themeColor="text1"/>
          <w:sz w:val="24"/>
        </w:rPr>
        <w:t>InferenceEngine:</w:t>
      </w:r>
      <w:r w:rsidRPr="000A0425">
        <w:rPr>
          <w:rFonts w:ascii="Times New Roman" w:hAnsi="Times New Roman" w:cs="Times New Roman"/>
          <w:color w:val="000000" w:themeColor="text1"/>
        </w:rPr>
        <w:br/>
      </w:r>
      <w:r w:rsidRPr="000A0425">
        <w:rPr>
          <w:rStyle w:val="VerbatimChar"/>
          <w:rFonts w:ascii="Times New Roman" w:hAnsi="Times New Roman" w:cs="Times New Roman"/>
          <w:color w:val="000000" w:themeColor="text1"/>
          <w:sz w:val="24"/>
        </w:rPr>
        <w:t xml:space="preserve">    ingest(node, </w:t>
      </w:r>
      <w:proofErr w:type="gramStart"/>
      <w:r w:rsidRPr="000A0425">
        <w:rPr>
          <w:rStyle w:val="VerbatimChar"/>
          <w:rFonts w:ascii="Times New Roman" w:hAnsi="Times New Roman" w:cs="Times New Roman"/>
          <w:color w:val="000000" w:themeColor="text1"/>
          <w:sz w:val="24"/>
        </w:rPr>
        <w:t>evidence)        #</w:t>
      </w:r>
      <w:proofErr w:type="gramEnd"/>
      <w:r w:rsidRPr="000A0425">
        <w:rPr>
          <w:rStyle w:val="VerbatimChar"/>
          <w:rFonts w:ascii="Times New Roman" w:hAnsi="Times New Roman" w:cs="Times New Roman"/>
          <w:color w:val="000000" w:themeColor="text1"/>
          <w:sz w:val="24"/>
        </w:rPr>
        <w:t xml:space="preserve"> incorporate hard or soft evidence about one node</w:t>
      </w:r>
      <w:r w:rsidRPr="000A0425">
        <w:rPr>
          <w:rFonts w:ascii="Times New Roman" w:hAnsi="Times New Roman" w:cs="Times New Roman"/>
          <w:color w:val="000000" w:themeColor="text1"/>
        </w:rPr>
        <w:br/>
      </w:r>
      <w:r w:rsidRPr="000A0425">
        <w:rPr>
          <w:rStyle w:val="VerbatimChar"/>
          <w:rFonts w:ascii="Times New Roman" w:hAnsi="Times New Roman" w:cs="Times New Roman"/>
          <w:color w:val="000000" w:themeColor="text1"/>
          <w:sz w:val="24"/>
        </w:rPr>
        <w:t xml:space="preserve">    posterior(node) -&gt; distribution</w:t>
      </w:r>
      <w:r w:rsidRPr="000A0425">
        <w:rPr>
          <w:rFonts w:ascii="Times New Roman" w:hAnsi="Times New Roman" w:cs="Times New Roman"/>
          <w:color w:val="000000" w:themeColor="text1"/>
        </w:rPr>
        <w:br/>
      </w:r>
      <w:r w:rsidRPr="000A0425">
        <w:rPr>
          <w:rStyle w:val="VerbatimChar"/>
          <w:rFonts w:ascii="Times New Roman" w:hAnsi="Times New Roman" w:cs="Times New Roman"/>
          <w:color w:val="000000" w:themeColor="text1"/>
          <w:sz w:val="24"/>
        </w:rPr>
        <w:t xml:space="preserve">    diagnosis(node, THD) -&gt; state | UNCERTAIN</w:t>
      </w:r>
    </w:p>
    <w:p w14:paraId="49910D13"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interface uses two conventions inherited directly from Okabe et al. (2025). </w:t>
      </w:r>
      <w:r w:rsidRPr="000A0425">
        <w:rPr>
          <w:rFonts w:ascii="Times New Roman" w:hAnsi="Times New Roman" w:cs="Times New Roman"/>
          <w:i/>
          <w:iCs/>
          <w:color w:val="000000" w:themeColor="text1"/>
        </w:rPr>
        <w:t>THD</w:t>
      </w:r>
      <w:r w:rsidRPr="000A0425">
        <w:rPr>
          <w:rFonts w:ascii="Times New Roman" w:hAnsi="Times New Roman" w:cs="Times New Roman"/>
          <w:color w:val="000000" w:themeColor="text1"/>
        </w:rPr>
        <w:t xml:space="preserve"> (threshold) is a scalar between 0 and 1 that controls how confidently an agent must believe in a state before it commits to a categorical diagnosis: if the highest-probability state of a node has posterior probability at least THD, </w:t>
      </w:r>
      <w:r w:rsidRPr="000A0425">
        <w:rPr>
          <w:rStyle w:val="VerbatimChar"/>
          <w:rFonts w:ascii="Times New Roman" w:hAnsi="Times New Roman" w:cs="Times New Roman"/>
          <w:color w:val="000000" w:themeColor="text1"/>
          <w:sz w:val="24"/>
        </w:rPr>
        <w:t>diagnosis</w:t>
      </w:r>
      <w:r w:rsidRPr="000A0425">
        <w:rPr>
          <w:rFonts w:ascii="Times New Roman" w:hAnsi="Times New Roman" w:cs="Times New Roman"/>
          <w:color w:val="000000" w:themeColor="text1"/>
        </w:rPr>
        <w:t xml:space="preserve"> returns that state; otherwise it returns the sentinel value </w:t>
      </w:r>
      <w:r w:rsidRPr="000A0425">
        <w:rPr>
          <w:rStyle w:val="VerbatimChar"/>
          <w:rFonts w:ascii="Times New Roman" w:hAnsi="Times New Roman" w:cs="Times New Roman"/>
          <w:color w:val="000000" w:themeColor="text1"/>
          <w:sz w:val="24"/>
        </w:rPr>
        <w:t>UNCERTAIN</w:t>
      </w:r>
      <w:r w:rsidRPr="000A0425">
        <w:rPr>
          <w:rFonts w:ascii="Times New Roman" w:hAnsi="Times New Roman" w:cs="Times New Roman"/>
          <w:color w:val="000000" w:themeColor="text1"/>
        </w:rPr>
        <w:t xml:space="preserve">, indicating the agent is deferring judgment. This threshold-plus-abstention scheme is what makes cooperation informative — agents that are UNCERTAIN about a node have a reason to observe or query </w:t>
      </w:r>
      <w:r w:rsidRPr="000A0425">
        <w:rPr>
          <w:rFonts w:ascii="Times New Roman" w:hAnsi="Times New Roman" w:cs="Times New Roman"/>
          <w:color w:val="000000" w:themeColor="text1"/>
        </w:rPr>
        <w:t>it, and the metacognitive conflict detection of §3.7.3 treats UNCERTAIN-vs-committed disagreements as conflicts requiring resolution. Higher THD values produce more UNCERTAIN diagnoses; lower THD values produce more commitments. Okabe et al. (2025) study THD values of 0.75, 0.80, and 0.85; §4.2 explains our choice of THD = 0.55 and the substantive interpretation of that departure.</w:t>
      </w:r>
    </w:p>
    <w:p w14:paraId="49910D1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We implement three engines from a single shared causal specification (node states, edges, conditional probability tables):</w:t>
      </w:r>
    </w:p>
    <w:p w14:paraId="49910D15"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drawing>
          <wp:inline distT="0" distB="0" distL="0" distR="0" wp14:anchorId="49910E3C" wp14:editId="49910E3D">
            <wp:extent cx="5334000" cy="2003354"/>
            <wp:effectExtent l="0" t="0" r="0" b="0"/>
            <wp:docPr id="34" name="Picture" descr="Figure 1. Three inference substrates instantiated from a shared causal specification."/>
            <wp:cNvGraphicFramePr/>
            <a:graphic xmlns:a="http://schemas.openxmlformats.org/drawingml/2006/main">
              <a:graphicData uri="http://schemas.openxmlformats.org/drawingml/2006/picture">
                <pic:pic xmlns:pic="http://schemas.openxmlformats.org/drawingml/2006/picture">
                  <pic:nvPicPr>
                    <pic:cNvPr id="35" name="Picture" descr="figs/fig1_substrates.png"/>
                    <pic:cNvPicPr>
                      <a:picLocks noChangeAspect="1" noChangeArrowheads="1"/>
                    </pic:cNvPicPr>
                  </pic:nvPicPr>
                  <pic:blipFill>
                    <a:blip r:embed="rId7"/>
                    <a:stretch>
                      <a:fillRect/>
                    </a:stretch>
                  </pic:blipFill>
                  <pic:spPr bwMode="auto">
                    <a:xfrm>
                      <a:off x="0" y="0"/>
                      <a:ext cx="5334000" cy="2003354"/>
                    </a:xfrm>
                    <a:prstGeom prst="rect">
                      <a:avLst/>
                    </a:prstGeom>
                    <a:noFill/>
                    <a:ln w="9525">
                      <a:noFill/>
                      <a:headEnd/>
                      <a:tailEnd/>
                    </a:ln>
                  </pic:spPr>
                </pic:pic>
              </a:graphicData>
            </a:graphic>
          </wp:inline>
        </w:drawing>
      </w:r>
    </w:p>
    <w:p w14:paraId="49910D16"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1. Three inference substrates instantiated from a shared causal specification.</w:t>
      </w:r>
    </w:p>
    <w:p w14:paraId="49910D1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BBN.</w:t>
      </w:r>
      <w:r w:rsidRPr="000A0425">
        <w:rPr>
          <w:rFonts w:ascii="Times New Roman" w:hAnsi="Times New Roman" w:cs="Times New Roman"/>
          <w:color w:val="000000" w:themeColor="text1"/>
        </w:rPr>
        <w:t xml:space="preserve"> Exact belief propagation over the causal DAG. Native soft evidence, graded posteriors. This is the EMBM baseline substrate.</w:t>
      </w:r>
    </w:p>
    <w:p w14:paraId="49910D18"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Markov.</w:t>
      </w:r>
      <w:r w:rsidRPr="000A0425">
        <w:rPr>
          <w:rFonts w:ascii="Times New Roman" w:hAnsi="Times New Roman" w:cs="Times New Roman"/>
          <w:color w:val="000000" w:themeColor="text1"/>
        </w:rPr>
        <w:t xml:space="preserve"> A hidden-Markov-style probabilistic chain derived from the same DAG by linearizing it into a causal ordering and deriving transition/emission matrices from the CPTs. Graded posteriors, native soft evidence. The approximation lies in the causal-chain assumption: dependencies not captured in the chain are lost. This is an </w:t>
      </w:r>
      <w:r w:rsidRPr="000A0425">
        <w:rPr>
          <w:rFonts w:ascii="Times New Roman" w:hAnsi="Times New Roman" w:cs="Times New Roman"/>
          <w:i/>
          <w:iCs/>
          <w:color w:val="000000" w:themeColor="text1"/>
        </w:rPr>
        <w:t>inferential loss</w:t>
      </w:r>
      <w:r w:rsidRPr="000A0425">
        <w:rPr>
          <w:rFonts w:ascii="Times New Roman" w:hAnsi="Times New Roman" w:cs="Times New Roman"/>
          <w:color w:val="000000" w:themeColor="text1"/>
        </w:rPr>
        <w:t xml:space="preserve"> — the machinery is probabilistic but weaker.</w:t>
      </w:r>
    </w:p>
    <w:p w14:paraId="49910D19"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Tree.</w:t>
      </w:r>
      <w:r w:rsidRPr="000A0425">
        <w:rPr>
          <w:rFonts w:ascii="Times New Roman" w:hAnsi="Times New Roman" w:cs="Times New Roman"/>
          <w:color w:val="000000" w:themeColor="text1"/>
        </w:rPr>
        <w:t xml:space="preserve"> A decision-tree structure compiled from the CPTs. Leaf probabilities serve as pseudo-posteriors so that the threshold operator and soft-evidence ingest remain meaningful, but the underlying computation has no bidirectional causal inference: it can only infer designated target nodes from designated feature nodes. This is a </w:t>
      </w:r>
      <w:r w:rsidRPr="000A0425">
        <w:rPr>
          <w:rFonts w:ascii="Times New Roman" w:hAnsi="Times New Roman" w:cs="Times New Roman"/>
          <w:i/>
          <w:iCs/>
          <w:color w:val="000000" w:themeColor="text1"/>
        </w:rPr>
        <w:t>representational loss</w:t>
      </w:r>
      <w:r w:rsidRPr="000A0425">
        <w:rPr>
          <w:rFonts w:ascii="Times New Roman" w:hAnsi="Times New Roman" w:cs="Times New Roman"/>
          <w:color w:val="000000" w:themeColor="text1"/>
        </w:rPr>
        <w:t xml:space="preserve"> — the substrate cannot represent full joint uncertainty at all.</w:t>
      </w:r>
    </w:p>
    <w:p w14:paraId="49910D1A" w14:textId="053E020B"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All three engines are hand-specified from the same causal graph, not learned. This eliminates training-noise confounds and </w:t>
      </w:r>
      <w:r w:rsidR="006869F4" w:rsidRPr="000A0425">
        <w:rPr>
          <w:rFonts w:ascii="Times New Roman" w:hAnsi="Times New Roman" w:cs="Times New Roman"/>
          <w:color w:val="000000" w:themeColor="text1"/>
        </w:rPr>
        <w:t xml:space="preserve">allows us to attribute any inter-engine differences to substrate structure rather than </w:t>
      </w:r>
      <w:r w:rsidRPr="000A0425">
        <w:rPr>
          <w:rFonts w:ascii="Times New Roman" w:hAnsi="Times New Roman" w:cs="Times New Roman"/>
          <w:color w:val="000000" w:themeColor="text1"/>
        </w:rPr>
        <w:t>data quality.</w:t>
      </w:r>
    </w:p>
    <w:p w14:paraId="49910D1B" w14:textId="77777777" w:rsidR="003D122F" w:rsidRPr="000A0425" w:rsidRDefault="007C1A26">
      <w:pPr>
        <w:pStyle w:val="Heading3"/>
        <w:rPr>
          <w:rFonts w:ascii="Times New Roman" w:hAnsi="Times New Roman" w:cs="Times New Roman"/>
          <w:color w:val="000000" w:themeColor="text1"/>
        </w:rPr>
      </w:pPr>
      <w:bookmarkStart w:id="16" w:name="aware-and-naive-projection"/>
      <w:bookmarkEnd w:id="15"/>
      <w:r w:rsidRPr="000A0425">
        <w:rPr>
          <w:rFonts w:ascii="Times New Roman" w:hAnsi="Times New Roman" w:cs="Times New Roman"/>
          <w:color w:val="000000" w:themeColor="text1"/>
        </w:rPr>
        <w:t>3.7.2 Aware and naive projection</w:t>
      </w:r>
    </w:p>
    <w:p w14:paraId="49910D1C"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The projection question arises whenever agent A holds a belief about how teammate B represents a node. In the original EMBM, this projected belief is simply another BBN — because everything in the model is a BBN. Once substrates are heterogeneous, projection becomes a design choice.</w:t>
      </w:r>
    </w:p>
    <w:p w14:paraId="49910D1D"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Under </w:t>
      </w:r>
      <w:r w:rsidRPr="000A0425">
        <w:rPr>
          <w:rFonts w:ascii="Times New Roman" w:hAnsi="Times New Roman" w:cs="Times New Roman"/>
          <w:b/>
          <w:bCs/>
          <w:color w:val="000000" w:themeColor="text1"/>
        </w:rPr>
        <w:t>aware</w:t>
      </w:r>
      <w:r w:rsidRPr="000A0425">
        <w:rPr>
          <w:rFonts w:ascii="Times New Roman" w:hAnsi="Times New Roman" w:cs="Times New Roman"/>
          <w:color w:val="000000" w:themeColor="text1"/>
        </w:rPr>
        <w:t xml:space="preserve"> projection, A instantiates each engine that </w:t>
      </w:r>
      <w:proofErr w:type="gramStart"/>
      <w:r w:rsidRPr="000A0425">
        <w:rPr>
          <w:rFonts w:ascii="Times New Roman" w:hAnsi="Times New Roman" w:cs="Times New Roman"/>
          <w:color w:val="000000" w:themeColor="text1"/>
        </w:rPr>
        <w:t>models</w:t>
      </w:r>
      <w:proofErr w:type="gramEnd"/>
      <w:r w:rsidRPr="000A0425">
        <w:rPr>
          <w:rFonts w:ascii="Times New Roman" w:hAnsi="Times New Roman" w:cs="Times New Roman"/>
          <w:color w:val="000000" w:themeColor="text1"/>
        </w:rPr>
        <w:t xml:space="preserve"> teammate B (whether the direct model of B or the projected model of what B thinks about C) using B’s actual substrate kind. If B runs Markov, A’s model of B is Markov.</w:t>
      </w:r>
    </w:p>
    <w:p w14:paraId="49910D1E"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Under </w:t>
      </w:r>
      <w:r w:rsidRPr="000A0425">
        <w:rPr>
          <w:rFonts w:ascii="Times New Roman" w:hAnsi="Times New Roman" w:cs="Times New Roman"/>
          <w:b/>
          <w:bCs/>
          <w:color w:val="000000" w:themeColor="text1"/>
        </w:rPr>
        <w:t>naive</w:t>
      </w:r>
      <w:r w:rsidRPr="000A0425">
        <w:rPr>
          <w:rFonts w:ascii="Times New Roman" w:hAnsi="Times New Roman" w:cs="Times New Roman"/>
          <w:color w:val="000000" w:themeColor="text1"/>
        </w:rPr>
        <w:t xml:space="preserve"> projection, A instantiates each such engine using A’s own substrate kind. If B runs Markov but A runs BBN, A’s model of B is BBN — implicitly assuming B computes as A does.</w:t>
      </w:r>
    </w:p>
    <w:p w14:paraId="49910D1F"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Under matched compositions (all three agents run the same substrate), aware and naive projection produce identical instantiations. This is a specificity check we return to in the results.</w:t>
      </w:r>
    </w:p>
    <w:p w14:paraId="49910D20"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drawing>
          <wp:inline distT="0" distB="0" distL="0" distR="0" wp14:anchorId="49910E3E" wp14:editId="49910E3F">
            <wp:extent cx="5334000" cy="2334325"/>
            <wp:effectExtent l="0" t="0" r="0" b="0"/>
            <wp:docPr id="38" name="Picture" descr="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
            <wp:cNvGraphicFramePr/>
            <a:graphic xmlns:a="http://schemas.openxmlformats.org/drawingml/2006/main">
              <a:graphicData uri="http://schemas.openxmlformats.org/drawingml/2006/picture">
                <pic:pic xmlns:pic="http://schemas.openxmlformats.org/drawingml/2006/picture">
                  <pic:nvPicPr>
                    <pic:cNvPr id="39" name="Picture" descr="figs/fig2_projection.png"/>
                    <pic:cNvPicPr>
                      <a:picLocks noChangeAspect="1" noChangeArrowheads="1"/>
                    </pic:cNvPicPr>
                  </pic:nvPicPr>
                  <pic:blipFill>
                    <a:blip r:embed="rId8"/>
                    <a:stretch>
                      <a:fillRect/>
                    </a:stretch>
                  </pic:blipFill>
                  <pic:spPr bwMode="auto">
                    <a:xfrm>
                      <a:off x="0" y="0"/>
                      <a:ext cx="5334000" cy="2334325"/>
                    </a:xfrm>
                    <a:prstGeom prst="rect">
                      <a:avLst/>
                    </a:prstGeom>
                    <a:noFill/>
                    <a:ln w="9525">
                      <a:noFill/>
                      <a:headEnd/>
                      <a:tailEnd/>
                    </a:ln>
                  </pic:spPr>
                </pic:pic>
              </a:graphicData>
            </a:graphic>
          </wp:inline>
        </w:drawing>
      </w:r>
    </w:p>
    <w:p w14:paraId="49910D21"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w:t>
      </w:r>
    </w:p>
    <w:p w14:paraId="49910D22" w14:textId="77777777" w:rsidR="003D122F" w:rsidRPr="000A0425" w:rsidRDefault="007C1A26">
      <w:pPr>
        <w:pStyle w:val="Heading3"/>
        <w:rPr>
          <w:rFonts w:ascii="Times New Roman" w:hAnsi="Times New Roman" w:cs="Times New Roman"/>
          <w:color w:val="000000" w:themeColor="text1"/>
        </w:rPr>
      </w:pPr>
      <w:bookmarkStart w:id="17" w:name="metacognitive-conflict-detection"/>
      <w:bookmarkEnd w:id="16"/>
      <w:r w:rsidRPr="000A0425">
        <w:rPr>
          <w:rFonts w:ascii="Times New Roman" w:hAnsi="Times New Roman" w:cs="Times New Roman"/>
          <w:color w:val="000000" w:themeColor="text1"/>
        </w:rPr>
        <w:t>3.7.3 Metacognitive conflict detection</w:t>
      </w:r>
    </w:p>
    <w:p w14:paraId="49910D23"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Following EMBM, at any point during a run each agent A can detect three types of conflict per (node, teammate) pair:</w:t>
      </w:r>
    </w:p>
    <w:p w14:paraId="49910D24" w14:textId="77777777" w:rsidR="003D122F" w:rsidRPr="000A0425" w:rsidRDefault="007C1A26">
      <w:pPr>
        <w:pStyle w:val="Compact"/>
        <w:numPr>
          <w:ilvl w:val="0"/>
          <w:numId w:val="2"/>
        </w:numPr>
        <w:rPr>
          <w:rFonts w:ascii="Times New Roman" w:hAnsi="Times New Roman" w:cs="Times New Roman"/>
          <w:color w:val="000000" w:themeColor="text1"/>
        </w:rPr>
      </w:pPr>
      <w:r w:rsidRPr="000A0425">
        <w:rPr>
          <w:rFonts w:ascii="Times New Roman" w:hAnsi="Times New Roman" w:cs="Times New Roman"/>
          <w:b/>
          <w:bCs/>
          <w:color w:val="000000" w:themeColor="text1"/>
        </w:rPr>
        <w:t>Type I:</w:t>
      </w:r>
      <w:r w:rsidRPr="000A0425">
        <w:rPr>
          <w:rFonts w:ascii="Times New Roman" w:hAnsi="Times New Roman" w:cs="Times New Roman"/>
          <w:color w:val="000000" w:themeColor="text1"/>
        </w:rPr>
        <w:t xml:space="preserve"> A’s own diagnosis of the node differs from A’s direct model of teammate B’s diagnosis.</w:t>
      </w:r>
    </w:p>
    <w:p w14:paraId="49910D25" w14:textId="77777777" w:rsidR="003D122F" w:rsidRPr="000A0425" w:rsidRDefault="007C1A26">
      <w:pPr>
        <w:pStyle w:val="Compact"/>
        <w:numPr>
          <w:ilvl w:val="0"/>
          <w:numId w:val="2"/>
        </w:numPr>
        <w:rPr>
          <w:rFonts w:ascii="Times New Roman" w:hAnsi="Times New Roman" w:cs="Times New Roman"/>
          <w:color w:val="000000" w:themeColor="text1"/>
        </w:rPr>
      </w:pPr>
      <w:r w:rsidRPr="000A0425">
        <w:rPr>
          <w:rFonts w:ascii="Times New Roman" w:hAnsi="Times New Roman" w:cs="Times New Roman"/>
          <w:b/>
          <w:bCs/>
          <w:color w:val="000000" w:themeColor="text1"/>
        </w:rPr>
        <w:t>Type II:</w:t>
      </w:r>
      <w:r w:rsidRPr="000A0425">
        <w:rPr>
          <w:rFonts w:ascii="Times New Roman" w:hAnsi="Times New Roman" w:cs="Times New Roman"/>
          <w:color w:val="000000" w:themeColor="text1"/>
        </w:rPr>
        <w:t xml:space="preserve"> A’s own diagnosis differs from A’s model of B’s model of A.</w:t>
      </w:r>
    </w:p>
    <w:p w14:paraId="49910D26" w14:textId="77777777" w:rsidR="003D122F" w:rsidRPr="000A0425" w:rsidRDefault="007C1A26">
      <w:pPr>
        <w:pStyle w:val="Compact"/>
        <w:numPr>
          <w:ilvl w:val="0"/>
          <w:numId w:val="2"/>
        </w:numPr>
        <w:rPr>
          <w:rFonts w:ascii="Times New Roman" w:hAnsi="Times New Roman" w:cs="Times New Roman"/>
          <w:color w:val="000000" w:themeColor="text1"/>
        </w:rPr>
      </w:pPr>
      <w:r w:rsidRPr="000A0425">
        <w:rPr>
          <w:rFonts w:ascii="Times New Roman" w:hAnsi="Times New Roman" w:cs="Times New Roman"/>
          <w:b/>
          <w:bCs/>
          <w:color w:val="000000" w:themeColor="text1"/>
        </w:rPr>
        <w:t>Type III:</w:t>
      </w:r>
      <w:r w:rsidRPr="000A0425">
        <w:rPr>
          <w:rFonts w:ascii="Times New Roman" w:hAnsi="Times New Roman" w:cs="Times New Roman"/>
          <w:color w:val="000000" w:themeColor="text1"/>
        </w:rPr>
        <w:t xml:space="preserve"> A’s own diagnosis differs from A’s model of B’s model of the third teammate C.</w:t>
      </w:r>
    </w:p>
    <w:p w14:paraId="49910D27"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A conflict fires whenever the two compared diagnoses either commit to different states or one commits while the other is UNCERTAIN (following the EMBM convention that information gaps are also conflicts to be resolved). The action-selection procedure picks the highest-importance detected conflict and calls the resolution logic described in §3.3.</w:t>
      </w:r>
    </w:p>
    <w:p w14:paraId="49910D28"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lastRenderedPageBreak/>
        <w:drawing>
          <wp:inline distT="0" distB="0" distL="0" distR="0" wp14:anchorId="49910E40" wp14:editId="49910E41">
            <wp:extent cx="5334000" cy="2087742"/>
            <wp:effectExtent l="0" t="0" r="0" b="0"/>
            <wp:docPr id="42" name="Picture" descr="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
            <wp:cNvGraphicFramePr/>
            <a:graphic xmlns:a="http://schemas.openxmlformats.org/drawingml/2006/main">
              <a:graphicData uri="http://schemas.openxmlformats.org/drawingml/2006/picture">
                <pic:pic xmlns:pic="http://schemas.openxmlformats.org/drawingml/2006/picture">
                  <pic:nvPicPr>
                    <pic:cNvPr id="43" name="Picture" descr="figs/fig3_conflict_types.png"/>
                    <pic:cNvPicPr>
                      <a:picLocks noChangeAspect="1" noChangeArrowheads="1"/>
                    </pic:cNvPicPr>
                  </pic:nvPicPr>
                  <pic:blipFill>
                    <a:blip r:embed="rId9"/>
                    <a:stretch>
                      <a:fillRect/>
                    </a:stretch>
                  </pic:blipFill>
                  <pic:spPr bwMode="auto">
                    <a:xfrm>
                      <a:off x="0" y="0"/>
                      <a:ext cx="5334000" cy="2087742"/>
                    </a:xfrm>
                    <a:prstGeom prst="rect">
                      <a:avLst/>
                    </a:prstGeom>
                    <a:noFill/>
                    <a:ln w="9525">
                      <a:noFill/>
                      <a:headEnd/>
                      <a:tailEnd/>
                    </a:ln>
                  </pic:spPr>
                </pic:pic>
              </a:graphicData>
            </a:graphic>
          </wp:inline>
        </w:drawing>
      </w:r>
    </w:p>
    <w:p w14:paraId="49910D29"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w:t>
      </w:r>
    </w:p>
    <w:p w14:paraId="49910D2A" w14:textId="77777777" w:rsidR="003D122F" w:rsidRPr="000A0425" w:rsidRDefault="007C1A26">
      <w:pPr>
        <w:pStyle w:val="Heading3"/>
        <w:rPr>
          <w:rFonts w:ascii="Times New Roman" w:hAnsi="Times New Roman" w:cs="Times New Roman"/>
          <w:color w:val="000000" w:themeColor="text1"/>
        </w:rPr>
      </w:pPr>
      <w:bookmarkStart w:id="18" w:name="cross-substrate-translation"/>
      <w:bookmarkEnd w:id="17"/>
      <w:r w:rsidRPr="000A0425">
        <w:rPr>
          <w:rFonts w:ascii="Times New Roman" w:hAnsi="Times New Roman" w:cs="Times New Roman"/>
          <w:color w:val="000000" w:themeColor="text1"/>
        </w:rPr>
        <w:t>3.7.4 Cross-substrate translation</w:t>
      </w:r>
    </w:p>
    <w:p w14:paraId="49910D2B"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When an agent A (substrate X) communicates evidence to agent B (substrate Y), the evidence must be translated. We use the translation rule from Okabe et al. (2025) without modification: a diagnosis or posterior in X is passed to Y’s </w:t>
      </w:r>
      <w:r w:rsidRPr="000A0425">
        <w:rPr>
          <w:rStyle w:val="VerbatimChar"/>
          <w:rFonts w:ascii="Times New Roman" w:hAnsi="Times New Roman" w:cs="Times New Roman"/>
          <w:color w:val="000000" w:themeColor="text1"/>
          <w:sz w:val="24"/>
        </w:rPr>
        <w:t>ingest</w:t>
      </w:r>
      <w:r w:rsidRPr="000A0425">
        <w:rPr>
          <w:rFonts w:ascii="Times New Roman" w:hAnsi="Times New Roman" w:cs="Times New Roman"/>
          <w:color w:val="000000" w:themeColor="text1"/>
        </w:rPr>
        <w:t xml:space="preserve"> interface, and Y absorbs it in the form its own substrate allows. Under BBN → Markov, a distribution becomes a soft evidence vector; under BBN → tree, a posterior collapses on argmax; under tree → BBN, a crisp label becomes a gamma-weighted point distribution. This translation layer is held constant across all experiments here, so any differences we observe are attributable to substrate choice or projection mode, not to translation.</w:t>
      </w:r>
    </w:p>
    <w:p w14:paraId="49910D2C" w14:textId="77777777" w:rsidR="003D122F" w:rsidRPr="000A0425" w:rsidRDefault="007C1A26">
      <w:pPr>
        <w:pStyle w:val="Heading3"/>
        <w:rPr>
          <w:rFonts w:ascii="Times New Roman" w:hAnsi="Times New Roman" w:cs="Times New Roman"/>
          <w:color w:val="000000" w:themeColor="text1"/>
        </w:rPr>
      </w:pPr>
      <w:bookmarkStart w:id="19" w:name="two-network-instantiations"/>
      <w:bookmarkEnd w:id="18"/>
      <w:r w:rsidRPr="000A0425">
        <w:rPr>
          <w:rFonts w:ascii="Times New Roman" w:hAnsi="Times New Roman" w:cs="Times New Roman"/>
          <w:color w:val="000000" w:themeColor="text1"/>
        </w:rPr>
        <w:t>3.7.5 Two network instantiations</w:t>
      </w:r>
    </w:p>
    <w:p w14:paraId="49910D2D"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abstract model of §§3.7.1–3.7.4 is domain-agnostic. To </w:t>
      </w:r>
      <w:proofErr w:type="gramStart"/>
      <w:r w:rsidRPr="000A0425">
        <w:rPr>
          <w:rFonts w:ascii="Times New Roman" w:hAnsi="Times New Roman" w:cs="Times New Roman"/>
          <w:color w:val="000000" w:themeColor="text1"/>
        </w:rPr>
        <w:t>ground it</w:t>
      </w:r>
      <w:proofErr w:type="gramEnd"/>
      <w:r w:rsidRPr="000A0425">
        <w:rPr>
          <w:rFonts w:ascii="Times New Roman" w:hAnsi="Times New Roman" w:cs="Times New Roman"/>
          <w:color w:val="000000" w:themeColor="text1"/>
        </w:rPr>
        <w:t xml:space="preserve">, we instantiate it on two 17-node Bayesian networks, chosen to jointly </w:t>
      </w:r>
      <w:proofErr w:type="gramStart"/>
      <w:r w:rsidRPr="000A0425">
        <w:rPr>
          <w:rFonts w:ascii="Times New Roman" w:hAnsi="Times New Roman" w:cs="Times New Roman"/>
          <w:color w:val="000000" w:themeColor="text1"/>
        </w:rPr>
        <w:t>probe</w:t>
      </w:r>
      <w:proofErr w:type="gramEnd"/>
      <w:r w:rsidRPr="000A0425">
        <w:rPr>
          <w:rFonts w:ascii="Times New Roman" w:hAnsi="Times New Roman" w:cs="Times New Roman"/>
          <w:color w:val="000000" w:themeColor="text1"/>
        </w:rPr>
        <w:t xml:space="preserve"> whether our findings depend on network topology or CPT structure. Both networks are held constant across all cells of the experimental design; agents </w:t>
      </w:r>
      <w:proofErr w:type="gramStart"/>
      <w:r w:rsidRPr="000A0425">
        <w:rPr>
          <w:rFonts w:ascii="Times New Roman" w:hAnsi="Times New Roman" w:cs="Times New Roman"/>
          <w:color w:val="000000" w:themeColor="text1"/>
        </w:rPr>
        <w:t>in a given</w:t>
      </w:r>
      <w:proofErr w:type="gramEnd"/>
      <w:r w:rsidRPr="000A0425">
        <w:rPr>
          <w:rFonts w:ascii="Times New Roman" w:hAnsi="Times New Roman" w:cs="Times New Roman"/>
          <w:color w:val="000000" w:themeColor="text1"/>
        </w:rPr>
        <w:t xml:space="preserve"> team share the </w:t>
      </w:r>
      <w:r w:rsidRPr="000A0425">
        <w:rPr>
          <w:rFonts w:ascii="Times New Roman" w:hAnsi="Times New Roman" w:cs="Times New Roman"/>
          <w:i/>
          <w:iCs/>
          <w:color w:val="000000" w:themeColor="text1"/>
        </w:rPr>
        <w:t>same</w:t>
      </w:r>
      <w:r w:rsidRPr="000A0425">
        <w:rPr>
          <w:rFonts w:ascii="Times New Roman" w:hAnsi="Times New Roman" w:cs="Times New Roman"/>
          <w:color w:val="000000" w:themeColor="text1"/>
        </w:rPr>
        <w:t xml:space="preserve"> causal </w:t>
      </w:r>
      <w:proofErr w:type="gramStart"/>
      <w:r w:rsidRPr="000A0425">
        <w:rPr>
          <w:rFonts w:ascii="Times New Roman" w:hAnsi="Times New Roman" w:cs="Times New Roman"/>
          <w:color w:val="000000" w:themeColor="text1"/>
        </w:rPr>
        <w:t>specification, but</w:t>
      </w:r>
      <w:proofErr w:type="gramEnd"/>
      <w:r w:rsidRPr="000A0425">
        <w:rPr>
          <w:rFonts w:ascii="Times New Roman" w:hAnsi="Times New Roman" w:cs="Times New Roman"/>
          <w:color w:val="000000" w:themeColor="text1"/>
        </w:rPr>
        <w:t xml:space="preserve"> may run different inference engines over it.</w:t>
      </w:r>
    </w:p>
    <w:p w14:paraId="49910D2E"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Kanno.</w:t>
      </w:r>
      <w:r w:rsidRPr="000A0425">
        <w:rPr>
          <w:rFonts w:ascii="Times New Roman" w:hAnsi="Times New Roman" w:cs="Times New Roman"/>
          <w:color w:val="000000" w:themeColor="text1"/>
        </w:rPr>
        <w:t xml:space="preserve"> The car-diagnosis network of Okabe et al. (2025), imported directly from the authors’ Netica specification (</w:t>
      </w:r>
      <w:r w:rsidRPr="000A0425">
        <w:rPr>
          <w:rStyle w:val="VerbatimChar"/>
          <w:rFonts w:ascii="Times New Roman" w:hAnsi="Times New Roman" w:cs="Times New Roman"/>
          <w:color w:val="000000" w:themeColor="text1"/>
          <w:sz w:val="24"/>
        </w:rPr>
        <w:t>agent1.dne</w:t>
      </w:r>
      <w:r w:rsidRPr="000A0425">
        <w:rPr>
          <w:rFonts w:ascii="Times New Roman" w:hAnsi="Times New Roman" w:cs="Times New Roman"/>
          <w:color w:val="000000" w:themeColor="text1"/>
        </w:rPr>
        <w:t xml:space="preserve">), itself adapted from the original Norsys Netica car-diagnosis example. The 17 nodes represent car parts organized around a </w:t>
      </w:r>
      <w:r w:rsidRPr="000A0425">
        <w:rPr>
          <w:rStyle w:val="VerbatimChar"/>
          <w:rFonts w:ascii="Times New Roman" w:hAnsi="Times New Roman" w:cs="Times New Roman"/>
          <w:color w:val="000000" w:themeColor="text1"/>
          <w:sz w:val="24"/>
        </w:rPr>
        <w:t>Starts</w:t>
      </w:r>
      <w:r w:rsidRPr="000A0425">
        <w:rPr>
          <w:rFonts w:ascii="Times New Roman" w:hAnsi="Times New Roman" w:cs="Times New Roman"/>
          <w:color w:val="000000" w:themeColor="text1"/>
        </w:rPr>
        <w:t xml:space="preserve"> outcome and </w:t>
      </w:r>
      <w:proofErr w:type="gramStart"/>
      <w:r w:rsidRPr="000A0425">
        <w:rPr>
          <w:rFonts w:ascii="Times New Roman" w:hAnsi="Times New Roman" w:cs="Times New Roman"/>
          <w:color w:val="000000" w:themeColor="text1"/>
        </w:rPr>
        <w:t>its</w:t>
      </w:r>
      <w:proofErr w:type="gramEnd"/>
      <w:r w:rsidRPr="000A0425">
        <w:rPr>
          <w:rFonts w:ascii="Times New Roman" w:hAnsi="Times New Roman" w:cs="Times New Roman"/>
          <w:color w:val="000000" w:themeColor="text1"/>
        </w:rPr>
        <w:t xml:space="preserve"> causal predecessors — battery, alternator, fuel path (tank, filter, fuel system), air path (filter, air), electrical (main fuse, plug </w:t>
      </w:r>
      <w:proofErr w:type="gramStart"/>
      <w:r w:rsidRPr="000A0425">
        <w:rPr>
          <w:rFonts w:ascii="Times New Roman" w:hAnsi="Times New Roman" w:cs="Times New Roman"/>
          <w:color w:val="000000" w:themeColor="text1"/>
        </w:rPr>
        <w:t>voltage, spark plugs</w:t>
      </w:r>
      <w:proofErr w:type="gramEnd"/>
      <w:r w:rsidRPr="000A0425">
        <w:rPr>
          <w:rFonts w:ascii="Times New Roman" w:hAnsi="Times New Roman" w:cs="Times New Roman"/>
          <w:color w:val="000000" w:themeColor="text1"/>
        </w:rPr>
        <w:t>, spark quality), timing, distribution, starter motor, and lights. Ten nodes are observable</w:t>
      </w:r>
      <w:r w:rsidRPr="000A0425">
        <w:rPr>
          <w:rFonts w:ascii="Times New Roman" w:hAnsi="Times New Roman" w:cs="Times New Roman"/>
          <w:color w:val="000000" w:themeColor="text1"/>
        </w:rPr>
        <w:t xml:space="preserve">, seven are unobservable inference targets. The observability partition into agents A, B, C is reconstructed from Figure 8 of Okabe et al. (2025): agent A observes starter motor, gas tank, alternator, and lights; agent B observes spark plugs, battery voltage, main fuse, and lights (overlap with A on lights); agent C observes air filter, fuel, gas filter, and main fuse (overlap with B on main fuse). The unobservable targets are </w:t>
      </w:r>
      <w:proofErr w:type="gramStart"/>
      <w:r w:rsidRPr="000A0425">
        <w:rPr>
          <w:rFonts w:ascii="Times New Roman" w:hAnsi="Times New Roman" w:cs="Times New Roman"/>
          <w:color w:val="000000" w:themeColor="text1"/>
        </w:rPr>
        <w:t>plug</w:t>
      </w:r>
      <w:proofErr w:type="gramEnd"/>
      <w:r w:rsidRPr="000A0425">
        <w:rPr>
          <w:rFonts w:ascii="Times New Roman" w:hAnsi="Times New Roman" w:cs="Times New Roman"/>
          <w:color w:val="000000" w:themeColor="text1"/>
        </w:rPr>
        <w:t xml:space="preserve"> voltage, starter, distribution, spark quality, air, timing, and starts. Beca</w:t>
      </w:r>
      <w:r w:rsidRPr="000A0425">
        <w:rPr>
          <w:rFonts w:ascii="Times New Roman" w:hAnsi="Times New Roman" w:cs="Times New Roman"/>
          <w:color w:val="000000" w:themeColor="text1"/>
        </w:rPr>
        <w:t xml:space="preserve">use Okabe et al. (2025) has not </w:t>
      </w:r>
      <w:r w:rsidRPr="000A0425">
        <w:rPr>
          <w:rFonts w:ascii="Times New Roman" w:hAnsi="Times New Roman" w:cs="Times New Roman"/>
          <w:color w:val="000000" w:themeColor="text1"/>
        </w:rPr>
        <w:lastRenderedPageBreak/>
        <w:t>released the source code publicly, our BBN engine and cooperation-phase mechanics are reimplemented from the paper’s algorithmic description; we validated the reimplementation by confirming that a matched all-BBN team on this network reproduces the qualitative shape of the published curves in Okabe et al.’s Figure 9 before any substrate manipulation was introduced.</w:t>
      </w:r>
    </w:p>
    <w:p w14:paraId="49910D2F"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Domain17.</w:t>
      </w:r>
      <w:r w:rsidRPr="000A0425">
        <w:rPr>
          <w:rFonts w:ascii="Times New Roman" w:hAnsi="Times New Roman" w:cs="Times New Roman"/>
          <w:color w:val="000000" w:themeColor="text1"/>
        </w:rPr>
        <w:t xml:space="preserve"> A hand-specified synthetic causal system, deliberately designed to exhibit richer multi-parent structure than the Kanno network. Whereas most of Kanno’s non-root nodes have one or two parents, Domain17 has five nodes with three parents each (</w:t>
      </w:r>
      <w:r w:rsidRPr="000A0425">
        <w:rPr>
          <w:rStyle w:val="VerbatimChar"/>
          <w:rFonts w:ascii="Times New Roman" w:hAnsi="Times New Roman" w:cs="Times New Roman"/>
          <w:color w:val="000000" w:themeColor="text1"/>
          <w:sz w:val="24"/>
        </w:rPr>
        <w:t>Comm</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ControlLoop</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DataPath</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Output</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SystemHealth</w:t>
      </w:r>
      <w:r w:rsidRPr="000A0425">
        <w:rPr>
          <w:rFonts w:ascii="Times New Roman" w:hAnsi="Times New Roman" w:cs="Times New Roman"/>
          <w:color w:val="000000" w:themeColor="text1"/>
        </w:rPr>
        <w:t>) and eight further nodes with exactly two parents. This is by design: the Markov engine’s causal-linearization approximation and the tree engine’s argmax-on-features approximation both lose more information on multi-par</w:t>
      </w:r>
      <w:r w:rsidRPr="000A0425">
        <w:rPr>
          <w:rFonts w:ascii="Times New Roman" w:hAnsi="Times New Roman" w:cs="Times New Roman"/>
          <w:color w:val="000000" w:themeColor="text1"/>
        </w:rPr>
        <w:t>ent nodes than on chain-like structures, so Domain17 provides an environment where the substrate manipulations are guaranteed to bite. The 17 nodes form a metaphor for a generic multi-subsystem device — power infrastructure (</w:t>
      </w:r>
      <w:r w:rsidRPr="000A0425">
        <w:rPr>
          <w:rStyle w:val="VerbatimChar"/>
          <w:rFonts w:ascii="Times New Roman" w:hAnsi="Times New Roman" w:cs="Times New Roman"/>
          <w:color w:val="000000" w:themeColor="text1"/>
          <w:sz w:val="24"/>
        </w:rPr>
        <w:t>MainPower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Regulator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BusVoltage</w:t>
      </w:r>
      <w:r w:rsidRPr="000A0425">
        <w:rPr>
          <w:rFonts w:ascii="Times New Roman" w:hAnsi="Times New Roman" w:cs="Times New Roman"/>
          <w:color w:val="000000" w:themeColor="text1"/>
        </w:rPr>
        <w:t>), timing and control (</w:t>
      </w:r>
      <w:r w:rsidRPr="000A0425">
        <w:rPr>
          <w:rStyle w:val="VerbatimChar"/>
          <w:rFonts w:ascii="Times New Roman" w:hAnsi="Times New Roman" w:cs="Times New Roman"/>
          <w:color w:val="000000" w:themeColor="text1"/>
          <w:sz w:val="24"/>
        </w:rPr>
        <w:t>Clock</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Firmware</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Timing</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ControlLoop</w:t>
      </w:r>
      <w:r w:rsidRPr="000A0425">
        <w:rPr>
          <w:rFonts w:ascii="Times New Roman" w:hAnsi="Times New Roman" w:cs="Times New Roman"/>
          <w:color w:val="000000" w:themeColor="text1"/>
        </w:rPr>
        <w:t>), sensor chains (</w:t>
      </w:r>
      <w:r w:rsidRPr="000A0425">
        <w:rPr>
          <w:rStyle w:val="VerbatimChar"/>
          <w:rFonts w:ascii="Times New Roman" w:hAnsi="Times New Roman" w:cs="Times New Roman"/>
          <w:color w:val="000000" w:themeColor="text1"/>
          <w:sz w:val="24"/>
        </w:rPr>
        <w:t>SensorL</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SensorR</w:t>
      </w:r>
      <w:r w:rsidRPr="000A0425">
        <w:rPr>
          <w:rFonts w:ascii="Times New Roman" w:hAnsi="Times New Roman" w:cs="Times New Roman"/>
          <w:color w:val="000000" w:themeColor="text1"/>
        </w:rPr>
        <w:t>), actuation and thermal (</w:t>
      </w:r>
      <w:r w:rsidRPr="000A0425">
        <w:rPr>
          <w:rStyle w:val="VerbatimChar"/>
          <w:rFonts w:ascii="Times New Roman" w:hAnsi="Times New Roman" w:cs="Times New Roman"/>
          <w:color w:val="000000" w:themeColor="text1"/>
          <w:sz w:val="24"/>
        </w:rPr>
        <w:t>Actuator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Thermal</w:t>
      </w:r>
      <w:r w:rsidRPr="000A0425">
        <w:rPr>
          <w:rFonts w:ascii="Times New Roman" w:hAnsi="Times New Roman" w:cs="Times New Roman"/>
          <w:color w:val="000000" w:themeColor="text1"/>
        </w:rPr>
        <w:t>), communication (</w:t>
      </w:r>
      <w:r w:rsidRPr="000A0425">
        <w:rPr>
          <w:rStyle w:val="VerbatimChar"/>
          <w:rFonts w:ascii="Times New Roman" w:hAnsi="Times New Roman" w:cs="Times New Roman"/>
          <w:color w:val="000000" w:themeColor="text1"/>
          <w:sz w:val="24"/>
        </w:rPr>
        <w:t>Comm</w:t>
      </w:r>
      <w:r w:rsidRPr="000A0425">
        <w:rPr>
          <w:rFonts w:ascii="Times New Roman" w:hAnsi="Times New Roman" w:cs="Times New Roman"/>
          <w:color w:val="000000" w:themeColor="text1"/>
        </w:rPr>
        <w:t>), data path (</w:t>
      </w:r>
      <w:r w:rsidRPr="000A0425">
        <w:rPr>
          <w:rStyle w:val="VerbatimChar"/>
          <w:rFonts w:ascii="Times New Roman" w:hAnsi="Times New Roman" w:cs="Times New Roman"/>
          <w:color w:val="000000" w:themeColor="text1"/>
          <w:sz w:val="24"/>
        </w:rPr>
        <w:t>DataPath</w:t>
      </w:r>
      <w:r w:rsidRPr="000A0425">
        <w:rPr>
          <w:rFonts w:ascii="Times New Roman" w:hAnsi="Times New Roman" w:cs="Times New Roman"/>
          <w:color w:val="000000" w:themeColor="text1"/>
        </w:rPr>
        <w:t>), output (</w:t>
      </w:r>
      <w:r w:rsidRPr="000A0425">
        <w:rPr>
          <w:rStyle w:val="VerbatimChar"/>
          <w:rFonts w:ascii="Times New Roman" w:hAnsi="Times New Roman" w:cs="Times New Roman"/>
          <w:color w:val="000000" w:themeColor="text1"/>
          <w:sz w:val="24"/>
        </w:rPr>
        <w:t>Output</w:t>
      </w:r>
      <w:r w:rsidRPr="000A0425">
        <w:rPr>
          <w:rFonts w:ascii="Times New Roman" w:hAnsi="Times New Roman" w:cs="Times New Roman"/>
          <w:color w:val="000000" w:themeColor="text1"/>
        </w:rPr>
        <w:t>), and roll-up health nodes (</w:t>
      </w:r>
      <w:r w:rsidRPr="000A0425">
        <w:rPr>
          <w:rStyle w:val="VerbatimChar"/>
          <w:rFonts w:ascii="Times New Roman" w:hAnsi="Times New Roman" w:cs="Times New Roman"/>
          <w:color w:val="000000" w:themeColor="text1"/>
          <w:sz w:val="24"/>
        </w:rPr>
        <w:t>Stability</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Integrity</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SystemHealth</w:t>
      </w:r>
      <w:r w:rsidRPr="000A0425">
        <w:rPr>
          <w:rFonts w:ascii="Times New Roman" w:hAnsi="Times New Roman" w:cs="Times New Roman"/>
          <w:color w:val="000000" w:themeColor="text1"/>
        </w:rPr>
        <w:t>). Node cardinality is mixed (eight nodes have two states, nine have three states). Root priors are hand-specified to skew mildly toward the nominal state so that fault scenarios are informative rather than trivial; conditional probability tables for non-root nodes are Dirichlet-sampled with sharpness 2.5 and parent-index-dependent bias, from a fixed random seed for reproducibility. Ten nodes are observable, seven are unobservable inferenc</w:t>
      </w:r>
      <w:r w:rsidRPr="000A0425">
        <w:rPr>
          <w:rFonts w:ascii="Times New Roman" w:hAnsi="Times New Roman" w:cs="Times New Roman"/>
          <w:color w:val="000000" w:themeColor="text1"/>
        </w:rPr>
        <w:t xml:space="preserve">e targets. The observability partition </w:t>
      </w:r>
      <w:proofErr w:type="gramStart"/>
      <w:r w:rsidRPr="000A0425">
        <w:rPr>
          <w:rFonts w:ascii="Times New Roman" w:hAnsi="Times New Roman" w:cs="Times New Roman"/>
          <w:color w:val="000000" w:themeColor="text1"/>
        </w:rPr>
        <w:t>is:</w:t>
      </w:r>
      <w:proofErr w:type="gramEnd"/>
      <w:r w:rsidRPr="000A0425">
        <w:rPr>
          <w:rFonts w:ascii="Times New Roman" w:hAnsi="Times New Roman" w:cs="Times New Roman"/>
          <w:color w:val="000000" w:themeColor="text1"/>
        </w:rPr>
        <w:t xml:space="preserve"> agent A → </w:t>
      </w:r>
      <w:r w:rsidRPr="000A0425">
        <w:rPr>
          <w:rStyle w:val="VerbatimChar"/>
          <w:rFonts w:ascii="Times New Roman" w:hAnsi="Times New Roman" w:cs="Times New Roman"/>
          <w:color w:val="000000" w:themeColor="text1"/>
          <w:sz w:val="24"/>
        </w:rPr>
        <w:t>MainPower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Regulator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SensorL</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Output</w:t>
      </w:r>
      <w:r w:rsidRPr="000A0425">
        <w:rPr>
          <w:rFonts w:ascii="Times New Roman" w:hAnsi="Times New Roman" w:cs="Times New Roman"/>
          <w:color w:val="000000" w:themeColor="text1"/>
        </w:rPr>
        <w:t xml:space="preserve">; agent B → </w:t>
      </w:r>
      <w:r w:rsidRPr="000A0425">
        <w:rPr>
          <w:rStyle w:val="VerbatimChar"/>
          <w:rFonts w:ascii="Times New Roman" w:hAnsi="Times New Roman" w:cs="Times New Roman"/>
          <w:color w:val="000000" w:themeColor="text1"/>
          <w:sz w:val="24"/>
        </w:rPr>
        <w:t>Clock</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BusVoltage</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SensorR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Thermal</w:t>
      </w:r>
      <w:r w:rsidRPr="000A0425">
        <w:rPr>
          <w:rFonts w:ascii="Times New Roman" w:hAnsi="Times New Roman" w:cs="Times New Roman"/>
          <w:color w:val="000000" w:themeColor="text1"/>
        </w:rPr>
        <w:t xml:space="preserve">; agent C → </w:t>
      </w:r>
      <w:r w:rsidRPr="000A0425">
        <w:rPr>
          <w:rStyle w:val="VerbatimChar"/>
          <w:rFonts w:ascii="Times New Roman" w:hAnsi="Times New Roman" w:cs="Times New Roman"/>
          <w:color w:val="000000" w:themeColor="text1"/>
          <w:sz w:val="24"/>
        </w:rPr>
        <w:t>Firmware</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Actuator</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SensorL</w:t>
      </w:r>
      <w:r w:rsidRPr="000A0425">
        <w:rPr>
          <w:rFonts w:ascii="Times New Roman" w:hAnsi="Times New Roman" w:cs="Times New Roman"/>
          <w:color w:val="000000" w:themeColor="text1"/>
        </w:rPr>
        <w:t xml:space="preserve">, </w:t>
      </w:r>
      <w:r w:rsidRPr="000A0425">
        <w:rPr>
          <w:rStyle w:val="VerbatimChar"/>
          <w:rFonts w:ascii="Times New Roman" w:hAnsi="Times New Roman" w:cs="Times New Roman"/>
          <w:color w:val="000000" w:themeColor="text1"/>
          <w:sz w:val="24"/>
        </w:rPr>
        <w:t>BusVoltage</w:t>
      </w:r>
      <w:r w:rsidRPr="000A0425">
        <w:rPr>
          <w:rFonts w:ascii="Times New Roman" w:hAnsi="Times New Roman" w:cs="Times New Roman"/>
          <w:color w:val="000000" w:themeColor="text1"/>
        </w:rPr>
        <w:t xml:space="preserve"> (overlaps with A on </w:t>
      </w:r>
      <w:r w:rsidRPr="000A0425">
        <w:rPr>
          <w:rStyle w:val="VerbatimChar"/>
          <w:rFonts w:ascii="Times New Roman" w:hAnsi="Times New Roman" w:cs="Times New Roman"/>
          <w:color w:val="000000" w:themeColor="text1"/>
          <w:sz w:val="24"/>
        </w:rPr>
        <w:t>SensorL</w:t>
      </w:r>
      <w:r w:rsidRPr="000A0425">
        <w:rPr>
          <w:rFonts w:ascii="Times New Roman" w:hAnsi="Times New Roman" w:cs="Times New Roman"/>
          <w:color w:val="000000" w:themeColor="text1"/>
        </w:rPr>
        <w:t xml:space="preserve"> and with B on </w:t>
      </w:r>
      <w:r w:rsidRPr="000A0425">
        <w:rPr>
          <w:rStyle w:val="VerbatimChar"/>
          <w:rFonts w:ascii="Times New Roman" w:hAnsi="Times New Roman" w:cs="Times New Roman"/>
          <w:color w:val="000000" w:themeColor="text1"/>
          <w:sz w:val="24"/>
        </w:rPr>
        <w:t>BusVoltage</w:t>
      </w:r>
      <w:r w:rsidRPr="000A0425">
        <w:rPr>
          <w:rFonts w:ascii="Times New Roman" w:hAnsi="Times New Roman" w:cs="Times New Roman"/>
          <w:color w:val="000000" w:themeColor="text1"/>
        </w:rPr>
        <w:t>), following the overlap-with-partial-redundancy pattern of Okabe et al.’s Figure 8.</w:t>
      </w:r>
    </w:p>
    <w:p w14:paraId="49910D30"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The two networks serve complementary roles. Kanno is the “canonical” network — using it grounds our results in the same substrate on which the original EMBM curves were established, so any effect we find there is directly comparable to the source study. Domain17 is the “controlled” network — using it lets us guarantee, by construction, that multi-parent structure is present in force, so that the substrate manipulations have real bite. Effects that appear in both networks generalize across topology and CPT s</w:t>
      </w:r>
      <w:r w:rsidRPr="000A0425">
        <w:rPr>
          <w:rFonts w:ascii="Times New Roman" w:hAnsi="Times New Roman" w:cs="Times New Roman"/>
          <w:color w:val="000000" w:themeColor="text1"/>
        </w:rPr>
        <w:t>tructure; effects that appear in only one network can be examined for network-specific artifacts. Figure 4 shows the topology of both networks side by side.</w:t>
      </w:r>
    </w:p>
    <w:p w14:paraId="49910D31"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lastRenderedPageBreak/>
        <w:drawing>
          <wp:inline distT="0" distB="0" distL="0" distR="0" wp14:anchorId="49910E42" wp14:editId="31A77798">
            <wp:extent cx="6134100" cy="4603750"/>
            <wp:effectExtent l="0" t="0" r="0" b="0"/>
            <wp:docPr id="47" name="Picture" descr="Figure 4. Bayesian network topologies of the two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
            <wp:cNvGraphicFramePr/>
            <a:graphic xmlns:a="http://schemas.openxmlformats.org/drawingml/2006/main">
              <a:graphicData uri="http://schemas.openxmlformats.org/drawingml/2006/picture">
                <pic:pic xmlns:pic="http://schemas.openxmlformats.org/drawingml/2006/picture">
                  <pic:nvPicPr>
                    <pic:cNvPr id="48" name="Picture" descr="figs/fig4_networks.png"/>
                    <pic:cNvPicPr>
                      <a:picLocks noChangeAspect="1" noChangeArrowheads="1"/>
                    </pic:cNvPicPr>
                  </pic:nvPicPr>
                  <pic:blipFill>
                    <a:blip r:embed="rId10"/>
                    <a:stretch>
                      <a:fillRect/>
                    </a:stretch>
                  </pic:blipFill>
                  <pic:spPr bwMode="auto">
                    <a:xfrm>
                      <a:off x="0" y="0"/>
                      <a:ext cx="6134421" cy="4603991"/>
                    </a:xfrm>
                    <a:prstGeom prst="rect">
                      <a:avLst/>
                    </a:prstGeom>
                    <a:noFill/>
                    <a:ln w="9525">
                      <a:noFill/>
                      <a:headEnd/>
                      <a:tailEnd/>
                    </a:ln>
                  </pic:spPr>
                </pic:pic>
              </a:graphicData>
            </a:graphic>
          </wp:inline>
        </w:drawing>
      </w:r>
    </w:p>
    <w:p w14:paraId="49910D32"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4. Bayesian network topologies of the two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w:t>
      </w:r>
      <w:r w:rsidRPr="000A0425">
        <w:rPr>
          <w:rFonts w:ascii="Times New Roman" w:hAnsi="Times New Roman" w:cs="Times New Roman"/>
          <w:color w:val="000000" w:themeColor="text1"/>
        </w:rPr>
        <w:t>r: five nodes have three parents each (Comm, ControlLoop, DataPath, Output, SystemHealth), providing greater surface area for the tree engine’s argmax and the Markov engine’s causal-linearization approximations to bite.</w:t>
      </w:r>
    </w:p>
    <w:p w14:paraId="49910D33" w14:textId="77777777" w:rsidR="003D122F" w:rsidRPr="000A0425" w:rsidRDefault="007C1A26">
      <w:pPr>
        <w:pStyle w:val="Heading3"/>
        <w:rPr>
          <w:rFonts w:ascii="Times New Roman" w:hAnsi="Times New Roman" w:cs="Times New Roman"/>
          <w:color w:val="000000" w:themeColor="text1"/>
        </w:rPr>
      </w:pPr>
      <w:bookmarkStart w:id="20" w:name="node-importance"/>
      <w:bookmarkEnd w:id="19"/>
      <w:r w:rsidRPr="000A0425">
        <w:rPr>
          <w:rFonts w:ascii="Times New Roman" w:hAnsi="Times New Roman" w:cs="Times New Roman"/>
          <w:color w:val="000000" w:themeColor="text1"/>
        </w:rPr>
        <w:t>3.7.6 Node importance</w:t>
      </w:r>
    </w:p>
    <w:p w14:paraId="49910D34"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The action-selection procedure of §3.3 picks the highest-importance detected conflict, where node importance follows the mutual-information sum definition of Okabe et al. (2025, Eq. 3): the importance of node X is the sum of the pairwise mutual information between X and every other node in the network, computed under the network’s prior distribution. This measure is scenario-independent and is precomputed once per network. In case of ties or absent conflicts, the agent selects uniformly at random from the t</w:t>
      </w:r>
      <w:r w:rsidRPr="000A0425">
        <w:rPr>
          <w:rFonts w:ascii="Times New Roman" w:hAnsi="Times New Roman" w:cs="Times New Roman"/>
          <w:color w:val="000000" w:themeColor="text1"/>
        </w:rPr>
        <w:t>ied set.</w:t>
      </w:r>
    </w:p>
    <w:p w14:paraId="49910D35" w14:textId="77777777" w:rsidR="003D122F" w:rsidRPr="000A0425" w:rsidRDefault="007C1A26">
      <w:pPr>
        <w:pStyle w:val="Heading1"/>
        <w:rPr>
          <w:rFonts w:ascii="Times New Roman" w:hAnsi="Times New Roman" w:cs="Times New Roman"/>
          <w:color w:val="000000" w:themeColor="text1"/>
          <w:sz w:val="24"/>
          <w:szCs w:val="24"/>
        </w:rPr>
      </w:pPr>
      <w:bookmarkStart w:id="21" w:name="experimental-design"/>
      <w:bookmarkEnd w:id="7"/>
      <w:bookmarkEnd w:id="14"/>
      <w:bookmarkEnd w:id="20"/>
      <w:r w:rsidRPr="000A0425">
        <w:rPr>
          <w:rFonts w:ascii="Times New Roman" w:hAnsi="Times New Roman" w:cs="Times New Roman"/>
          <w:color w:val="000000" w:themeColor="text1"/>
          <w:sz w:val="24"/>
          <w:szCs w:val="24"/>
        </w:rPr>
        <w:lastRenderedPageBreak/>
        <w:t>4. Experimental design</w:t>
      </w:r>
    </w:p>
    <w:p w14:paraId="49910D36" w14:textId="77777777" w:rsidR="003D122F" w:rsidRPr="000A0425" w:rsidRDefault="007C1A26">
      <w:pPr>
        <w:pStyle w:val="Heading2"/>
        <w:rPr>
          <w:rFonts w:ascii="Times New Roman" w:hAnsi="Times New Roman" w:cs="Times New Roman"/>
          <w:color w:val="000000" w:themeColor="text1"/>
          <w:sz w:val="24"/>
          <w:szCs w:val="24"/>
        </w:rPr>
      </w:pPr>
      <w:bookmarkStart w:id="22" w:name="the-222-design"/>
      <w:r w:rsidRPr="000A0425">
        <w:rPr>
          <w:rFonts w:ascii="Times New Roman" w:hAnsi="Times New Roman" w:cs="Times New Roman"/>
          <w:color w:val="000000" w:themeColor="text1"/>
          <w:sz w:val="24"/>
          <w:szCs w:val="24"/>
        </w:rPr>
        <w:t>4.1 The 2×2×2 design</w:t>
      </w:r>
    </w:p>
    <w:p w14:paraId="49910D37"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We manipulate three factors:</w:t>
      </w:r>
    </w:p>
    <w:p w14:paraId="49910D38" w14:textId="77777777" w:rsidR="003D122F" w:rsidRPr="000A0425" w:rsidRDefault="007C1A26">
      <w:pPr>
        <w:numPr>
          <w:ilvl w:val="0"/>
          <w:numId w:val="3"/>
        </w:numPr>
        <w:rPr>
          <w:rFonts w:ascii="Times New Roman" w:hAnsi="Times New Roman" w:cs="Times New Roman"/>
          <w:color w:val="000000" w:themeColor="text1"/>
        </w:rPr>
      </w:pPr>
      <w:r w:rsidRPr="000A0425">
        <w:rPr>
          <w:rFonts w:ascii="Times New Roman" w:hAnsi="Times New Roman" w:cs="Times New Roman"/>
          <w:b/>
          <w:bCs/>
          <w:color w:val="000000" w:themeColor="text1"/>
        </w:rPr>
        <w:t>Network</w:t>
      </w:r>
      <w:r w:rsidRPr="000A0425">
        <w:rPr>
          <w:rFonts w:ascii="Times New Roman" w:hAnsi="Times New Roman" w:cs="Times New Roman"/>
          <w:color w:val="000000" w:themeColor="text1"/>
        </w:rPr>
        <w:t xml:space="preserve"> — two Bayesian networks. Domain17 is a controlled 17-node synthetic causal system with hand-specified CPTs designed to produce nontrivial partial-observability inference. Kanno is the 17-node car-diagnosis network from Okabe et al. (2025), imported directly from the </w:t>
      </w:r>
      <w:proofErr w:type="gramStart"/>
      <w:r w:rsidRPr="000A0425">
        <w:rPr>
          <w:rFonts w:ascii="Times New Roman" w:hAnsi="Times New Roman" w:cs="Times New Roman"/>
          <w:color w:val="000000" w:themeColor="text1"/>
        </w:rPr>
        <w:t>authors’</w:t>
      </w:r>
      <w:proofErr w:type="gramEnd"/>
      <w:r w:rsidRPr="000A0425">
        <w:rPr>
          <w:rFonts w:ascii="Times New Roman" w:hAnsi="Times New Roman" w:cs="Times New Roman"/>
          <w:color w:val="000000" w:themeColor="text1"/>
        </w:rPr>
        <w:t xml:space="preserve"> Netica specification (agent1.dne).</w:t>
      </w:r>
    </w:p>
    <w:p w14:paraId="49910D39" w14:textId="77777777" w:rsidR="003D122F" w:rsidRPr="000A0425" w:rsidRDefault="007C1A26">
      <w:pPr>
        <w:numPr>
          <w:ilvl w:val="0"/>
          <w:numId w:val="3"/>
        </w:numPr>
        <w:rPr>
          <w:rFonts w:ascii="Times New Roman" w:hAnsi="Times New Roman" w:cs="Times New Roman"/>
          <w:color w:val="000000" w:themeColor="text1"/>
        </w:rPr>
      </w:pPr>
      <w:r w:rsidRPr="000A0425">
        <w:rPr>
          <w:rFonts w:ascii="Times New Roman" w:hAnsi="Times New Roman" w:cs="Times New Roman"/>
          <w:b/>
          <w:bCs/>
          <w:color w:val="000000" w:themeColor="text1"/>
        </w:rPr>
        <w:t>Mismatched substrate axis</w:t>
      </w:r>
      <w:r w:rsidRPr="000A0425">
        <w:rPr>
          <w:rFonts w:ascii="Times New Roman" w:hAnsi="Times New Roman" w:cs="Times New Roman"/>
          <w:color w:val="000000" w:themeColor="text1"/>
        </w:rPr>
        <w:t xml:space="preserve"> — the substrate assigned to agent A in mismatched compositions is either </w:t>
      </w:r>
      <w:proofErr w:type="gramStart"/>
      <w:r w:rsidRPr="000A0425">
        <w:rPr>
          <w:rFonts w:ascii="Times New Roman" w:hAnsi="Times New Roman" w:cs="Times New Roman"/>
          <w:i/>
          <w:iCs/>
          <w:color w:val="000000" w:themeColor="text1"/>
        </w:rPr>
        <w:t>tree</w:t>
      </w:r>
      <w:proofErr w:type="gramEnd"/>
      <w:r w:rsidRPr="000A0425">
        <w:rPr>
          <w:rFonts w:ascii="Times New Roman" w:hAnsi="Times New Roman" w:cs="Times New Roman"/>
          <w:color w:val="000000" w:themeColor="text1"/>
        </w:rPr>
        <w:t xml:space="preserve"> (representational loss) or </w:t>
      </w:r>
      <w:r w:rsidRPr="000A0425">
        <w:rPr>
          <w:rFonts w:ascii="Times New Roman" w:hAnsi="Times New Roman" w:cs="Times New Roman"/>
          <w:i/>
          <w:iCs/>
          <w:color w:val="000000" w:themeColor="text1"/>
        </w:rPr>
        <w:t>markov</w:t>
      </w:r>
      <w:r w:rsidRPr="000A0425">
        <w:rPr>
          <w:rFonts w:ascii="Times New Roman" w:hAnsi="Times New Roman" w:cs="Times New Roman"/>
          <w:color w:val="000000" w:themeColor="text1"/>
        </w:rPr>
        <w:t xml:space="preserve"> (inferential loss). Agents B and C are always BBN.</w:t>
      </w:r>
    </w:p>
    <w:p w14:paraId="49910D3A" w14:textId="77777777" w:rsidR="003D122F" w:rsidRPr="000A0425" w:rsidRDefault="007C1A26">
      <w:pPr>
        <w:numPr>
          <w:ilvl w:val="0"/>
          <w:numId w:val="3"/>
        </w:numPr>
        <w:rPr>
          <w:rFonts w:ascii="Times New Roman" w:hAnsi="Times New Roman" w:cs="Times New Roman"/>
          <w:color w:val="000000" w:themeColor="text1"/>
        </w:rPr>
      </w:pPr>
      <w:r w:rsidRPr="000A0425">
        <w:rPr>
          <w:rFonts w:ascii="Times New Roman" w:hAnsi="Times New Roman" w:cs="Times New Roman"/>
          <w:b/>
          <w:bCs/>
          <w:color w:val="000000" w:themeColor="text1"/>
        </w:rPr>
        <w:t>Projection mode</w:t>
      </w:r>
      <w:r w:rsidRPr="000A0425">
        <w:rPr>
          <w:rFonts w:ascii="Times New Roman" w:hAnsi="Times New Roman" w:cs="Times New Roman"/>
          <w:color w:val="000000" w:themeColor="text1"/>
        </w:rPr>
        <w:t xml:space="preserve"> — aware or naive.</w:t>
      </w:r>
    </w:p>
    <w:p w14:paraId="49910D3B"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Crossed with these three factors is the standard EMBM composition contrast: </w:t>
      </w:r>
      <w:r w:rsidRPr="000A0425">
        <w:rPr>
          <w:rFonts w:ascii="Times New Roman" w:hAnsi="Times New Roman" w:cs="Times New Roman"/>
          <w:i/>
          <w:iCs/>
          <w:color w:val="000000" w:themeColor="text1"/>
        </w:rPr>
        <w:t>matched</w:t>
      </w:r>
      <w:r w:rsidRPr="000A0425">
        <w:rPr>
          <w:rFonts w:ascii="Times New Roman" w:hAnsi="Times New Roman" w:cs="Times New Roman"/>
          <w:color w:val="000000" w:themeColor="text1"/>
        </w:rPr>
        <w:t xml:space="preserve"> (all three agents BBN) versus </w:t>
      </w:r>
      <w:r w:rsidRPr="000A0425">
        <w:rPr>
          <w:rFonts w:ascii="Times New Roman" w:hAnsi="Times New Roman" w:cs="Times New Roman"/>
          <w:i/>
          <w:iCs/>
          <w:color w:val="000000" w:themeColor="text1"/>
        </w:rPr>
        <w:t>mismatched</w:t>
      </w:r>
      <w:r w:rsidRPr="000A0425">
        <w:rPr>
          <w:rFonts w:ascii="Times New Roman" w:hAnsi="Times New Roman" w:cs="Times New Roman"/>
          <w:color w:val="000000" w:themeColor="text1"/>
        </w:rPr>
        <w:t xml:space="preserve"> (one agent on the axis substrate, two on BBN). The full cell structure per (network × axis) condition is therefore the 2×2 of {matched, mismatched} × {aware, naive}, and we run all four (network × axis) conditions, yielding a 2×2×2 = 8-cell design plus the two matched-baseline cells shared across axes.</w:t>
      </w:r>
    </w:p>
    <w:p w14:paraId="49910D3C" w14:textId="77777777" w:rsidR="003D122F" w:rsidRPr="000A0425" w:rsidRDefault="007C1A26">
      <w:pPr>
        <w:pStyle w:val="Heading2"/>
        <w:rPr>
          <w:rFonts w:ascii="Times New Roman" w:hAnsi="Times New Roman" w:cs="Times New Roman"/>
          <w:color w:val="000000" w:themeColor="text1"/>
          <w:sz w:val="24"/>
          <w:szCs w:val="24"/>
        </w:rPr>
      </w:pPr>
      <w:bookmarkStart w:id="23" w:name="scenarios-and-replication"/>
      <w:bookmarkEnd w:id="22"/>
      <w:r w:rsidRPr="000A0425">
        <w:rPr>
          <w:rFonts w:ascii="Times New Roman" w:hAnsi="Times New Roman" w:cs="Times New Roman"/>
          <w:color w:val="000000" w:themeColor="text1"/>
          <w:sz w:val="24"/>
          <w:szCs w:val="24"/>
        </w:rPr>
        <w:t>4.2 Scenarios and replication</w:t>
      </w:r>
    </w:p>
    <w:p w14:paraId="49910D3D" w14:textId="00A3D013"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For each network</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we pre-select eight </w:t>
      </w:r>
      <w:r w:rsidRPr="000A0425">
        <w:rPr>
          <w:rFonts w:ascii="Times New Roman" w:hAnsi="Times New Roman" w:cs="Times New Roman"/>
          <w:i/>
          <w:iCs/>
          <w:color w:val="000000" w:themeColor="text1"/>
        </w:rPr>
        <w:t>hard</w:t>
      </w:r>
      <w:r w:rsidRPr="000A0425">
        <w:rPr>
          <w:rFonts w:ascii="Times New Roman" w:hAnsi="Times New Roman" w:cs="Times New Roman"/>
          <w:color w:val="000000" w:themeColor="text1"/>
        </w:rPr>
        <w:t xml:space="preserve"> scenarios drawn from a pool of 120 sampled fault configurations, ranked by hardness. Hardness is defined as the number of non-nominal-state nodes in the ground-truth fault </w:t>
      </w:r>
      <w:proofErr w:type="gramStart"/>
      <w:r w:rsidRPr="000A0425">
        <w:rPr>
          <w:rFonts w:ascii="Times New Roman" w:hAnsi="Times New Roman" w:cs="Times New Roman"/>
          <w:color w:val="000000" w:themeColor="text1"/>
        </w:rPr>
        <w:t>configuration — a</w:t>
      </w:r>
      <w:proofErr w:type="gramEnd"/>
      <w:r w:rsidRPr="000A0425">
        <w:rPr>
          <w:rFonts w:ascii="Times New Roman" w:hAnsi="Times New Roman" w:cs="Times New Roman"/>
          <w:color w:val="000000" w:themeColor="text1"/>
        </w:rPr>
        <w:t xml:space="preserve"> scenario with </w:t>
      </w:r>
      <w:proofErr w:type="gramStart"/>
      <w:r w:rsidRPr="000A0425">
        <w:rPr>
          <w:rFonts w:ascii="Times New Roman" w:hAnsi="Times New Roman" w:cs="Times New Roman"/>
          <w:color w:val="000000" w:themeColor="text1"/>
        </w:rPr>
        <w:t>hardness h</w:t>
      </w:r>
      <w:proofErr w:type="gramEnd"/>
      <w:r w:rsidRPr="000A0425">
        <w:rPr>
          <w:rFonts w:ascii="Times New Roman" w:hAnsi="Times New Roman" w:cs="Times New Roman"/>
          <w:color w:val="000000" w:themeColor="text1"/>
        </w:rPr>
        <w:t xml:space="preserve"> has h of its 17 nodes in a non-default (</w:t>
      </w:r>
      <w:proofErr w:type="gramStart"/>
      <w:r w:rsidRPr="000A0425">
        <w:rPr>
          <w:rFonts w:ascii="Times New Roman" w:hAnsi="Times New Roman" w:cs="Times New Roman"/>
          <w:color w:val="000000" w:themeColor="text1"/>
        </w:rPr>
        <w:t>faulty</w:t>
      </w:r>
      <w:proofErr w:type="gramEnd"/>
      <w:r w:rsidRPr="000A0425">
        <w:rPr>
          <w:rFonts w:ascii="Times New Roman" w:hAnsi="Times New Roman" w:cs="Times New Roman"/>
          <w:color w:val="000000" w:themeColor="text1"/>
        </w:rPr>
        <w:t xml:space="preserve"> or degraded) state, and 17-h in their nominal state. Higher hardness is more difficult because more of the diagnosis surface is non-obvious. For Kanno, the top-8 scenarios span hardness 7 to 9; for Domain17, hardness 12 to 1</w:t>
      </w:r>
      <w:r w:rsidRPr="000A0425">
        <w:rPr>
          <w:rFonts w:ascii="Times New Roman" w:hAnsi="Times New Roman" w:cs="Times New Roman"/>
          <w:color w:val="000000" w:themeColor="text1"/>
        </w:rPr>
        <w:t>5. Domain17 scenarios are systematically harder in this metric because the network’s node cardinalities are higher and its fault-propagation cascades produce more downstream deviations from nominal per root fault.</w:t>
      </w:r>
    </w:p>
    <w:p w14:paraId="49910D3E" w14:textId="5E223925"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All cells within a network condition use the same eight scenarios, so per-scenario paired comparisons are possible. For Kanno</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the hard-scenario pool clusters on </w:t>
      </w:r>
      <w:r w:rsidRPr="000A0425">
        <w:rPr>
          <w:rStyle w:val="VerbatimChar"/>
          <w:rFonts w:ascii="Times New Roman" w:hAnsi="Times New Roman" w:cs="Times New Roman"/>
          <w:color w:val="000000" w:themeColor="text1"/>
          <w:sz w:val="24"/>
        </w:rPr>
        <w:t>BatVolt</w:t>
      </w:r>
      <w:r w:rsidRPr="000A0425">
        <w:rPr>
          <w:rFonts w:ascii="Times New Roman" w:hAnsi="Times New Roman" w:cs="Times New Roman"/>
          <w:color w:val="000000" w:themeColor="text1"/>
        </w:rPr>
        <w:t xml:space="preserve"> (battery voltage) faults, with four scenarios having </w:t>
      </w:r>
      <w:r w:rsidRPr="000A0425">
        <w:rPr>
          <w:rStyle w:val="VerbatimChar"/>
          <w:rFonts w:ascii="Times New Roman" w:hAnsi="Times New Roman" w:cs="Times New Roman"/>
          <w:color w:val="000000" w:themeColor="text1"/>
          <w:sz w:val="24"/>
        </w:rPr>
        <w:t>BatVolt=dead</w:t>
      </w:r>
      <w:r w:rsidRPr="000A0425">
        <w:rPr>
          <w:rFonts w:ascii="Times New Roman" w:hAnsi="Times New Roman" w:cs="Times New Roman"/>
          <w:color w:val="000000" w:themeColor="text1"/>
        </w:rPr>
        <w:t xml:space="preserve"> (categorical fault) and four having </w:t>
      </w:r>
      <w:r w:rsidRPr="000A0425">
        <w:rPr>
          <w:rStyle w:val="VerbatimChar"/>
          <w:rFonts w:ascii="Times New Roman" w:hAnsi="Times New Roman" w:cs="Times New Roman"/>
          <w:color w:val="000000" w:themeColor="text1"/>
          <w:sz w:val="24"/>
        </w:rPr>
        <w:t>BatVolt=weak</w:t>
      </w:r>
      <w:r w:rsidRPr="000A0425">
        <w:rPr>
          <w:rFonts w:ascii="Times New Roman" w:hAnsi="Times New Roman" w:cs="Times New Roman"/>
          <w:color w:val="000000" w:themeColor="text1"/>
        </w:rPr>
        <w:t xml:space="preserve"> (graded fault); this fault-type structure interacts with the aware-vs-naive projection manipulation in ways discussed in the results. For Domain17</w:t>
      </w:r>
      <w:r w:rsidR="00B60280"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the hard scenarios span multiple root-fault combinations without a single dominant fault-type structure.</w:t>
      </w:r>
    </w:p>
    <w:p w14:paraId="49910D3F"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Each cell within each scenario </w:t>
      </w:r>
      <w:proofErr w:type="gramStart"/>
      <w:r w:rsidRPr="000A0425">
        <w:rPr>
          <w:rFonts w:ascii="Times New Roman" w:hAnsi="Times New Roman" w:cs="Times New Roman"/>
          <w:color w:val="000000" w:themeColor="text1"/>
        </w:rPr>
        <w:t>is run</w:t>
      </w:r>
      <w:proofErr w:type="gramEnd"/>
      <w:r w:rsidRPr="000A0425">
        <w:rPr>
          <w:rFonts w:ascii="Times New Roman" w:hAnsi="Times New Roman" w:cs="Times New Roman"/>
          <w:color w:val="000000" w:themeColor="text1"/>
        </w:rPr>
        <w:t xml:space="preserve"> N = 15 times with different random seeds. Seeds are stratified so that a given cell/scenario/replicate combination is reproducible from a documented base seed. We use N = 15 rather than the original N = 100 of Okabe et al. (2025) primarily to fit our full 2×2×2 sweep within the computational budget available; sensitivity analysis on the single-metric run (Section 5.1) shows aggregate estimates are stable at both N = 15 and a supplementary N = 40 within the expected sampling error. Where our claims tu</w:t>
      </w:r>
      <w:r w:rsidRPr="000A0425">
        <w:rPr>
          <w:rFonts w:ascii="Times New Roman" w:hAnsi="Times New Roman" w:cs="Times New Roman"/>
          <w:color w:val="000000" w:themeColor="text1"/>
        </w:rPr>
        <w:t>rn on per-scenario sign consistency (8/8 replication), the reduced N has no effect on the claim; where they turn on aggregate significance testing, the reduced N is a conservative choice (less statistical power) rather than a permissive one.</w:t>
      </w:r>
    </w:p>
    <w:p w14:paraId="49910D40"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Threshold is held at THD = 0.55 throughout. This diverges from the original EMBM protocol (Okabe et al. 2025 use THD = 0.75, 0.80, 0.85). The rationale for the lower value is that lower thresholds produce more committed diagnoses per agent, and therefore more surface area for the aware-vs-naive projection distinction to bite: at higher thresholds, more nodes are UNCERTAIN in every agent’s beliefs, and UNCERTAIN-vs-UNCERTAIN comparisons across projection modes are structurally identical, so the aware/naive m</w:t>
      </w:r>
      <w:r w:rsidRPr="000A0425">
        <w:rPr>
          <w:rFonts w:ascii="Times New Roman" w:hAnsi="Times New Roman" w:cs="Times New Roman"/>
          <w:color w:val="000000" w:themeColor="text1"/>
        </w:rPr>
        <w:t xml:space="preserve">anipulation has less to affect. Our substrate-mismatch findings are therefore anchored to a </w:t>
      </w:r>
      <w:r w:rsidRPr="000A0425">
        <w:rPr>
          <w:rFonts w:ascii="Times New Roman" w:hAnsi="Times New Roman" w:cs="Times New Roman"/>
          <w:i/>
          <w:iCs/>
          <w:color w:val="000000" w:themeColor="text1"/>
        </w:rPr>
        <w:t>low-threshold</w:t>
      </w:r>
      <w:r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regime, and their extension to Okabe et al.’s higher-threshold regime is a natural follow-up study that we discuss in Section 6.5.</w:t>
      </w:r>
    </w:p>
    <w:p w14:paraId="49910D41" w14:textId="77777777" w:rsidR="003D122F" w:rsidRPr="000A0425" w:rsidRDefault="007C1A26">
      <w:pPr>
        <w:pStyle w:val="Heading2"/>
        <w:rPr>
          <w:rFonts w:ascii="Times New Roman" w:hAnsi="Times New Roman" w:cs="Times New Roman"/>
          <w:color w:val="000000" w:themeColor="text1"/>
          <w:sz w:val="24"/>
          <w:szCs w:val="24"/>
        </w:rPr>
      </w:pPr>
      <w:bookmarkStart w:id="24" w:name="metrics"/>
      <w:bookmarkEnd w:id="23"/>
      <w:r w:rsidRPr="000A0425">
        <w:rPr>
          <w:rFonts w:ascii="Times New Roman" w:hAnsi="Times New Roman" w:cs="Times New Roman"/>
          <w:color w:val="000000" w:themeColor="text1"/>
          <w:sz w:val="24"/>
          <w:szCs w:val="24"/>
        </w:rPr>
        <w:t>4.3 Metrics</w:t>
      </w:r>
    </w:p>
    <w:p w14:paraId="49910D42"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b/>
          <w:bCs/>
          <w:color w:val="000000" w:themeColor="text1"/>
        </w:rPr>
        <w:t>Team accuracy.</w:t>
      </w:r>
      <w:r w:rsidRPr="000A0425">
        <w:rPr>
          <w:rFonts w:ascii="Times New Roman" w:hAnsi="Times New Roman" w:cs="Times New Roman"/>
          <w:color w:val="000000" w:themeColor="text1"/>
        </w:rPr>
        <w:t xml:space="preserve"> The primary EMBM dependent variable: the mean, </w:t>
      </w:r>
      <w:proofErr w:type="gramStart"/>
      <w:r w:rsidRPr="000A0425">
        <w:rPr>
          <w:rFonts w:ascii="Times New Roman" w:hAnsi="Times New Roman" w:cs="Times New Roman"/>
          <w:color w:val="000000" w:themeColor="text1"/>
        </w:rPr>
        <w:t>across the three agents,</w:t>
      </w:r>
      <w:proofErr w:type="gramEnd"/>
      <w:r w:rsidRPr="000A0425">
        <w:rPr>
          <w:rFonts w:ascii="Times New Roman" w:hAnsi="Times New Roman" w:cs="Times New Roman"/>
          <w:color w:val="000000" w:themeColor="text1"/>
        </w:rPr>
        <w:t xml:space="preserve"> of the fraction of nodes whose L1 (self) diagnosis equals the ground truth. We </w:t>
      </w:r>
      <w:proofErr w:type="gramStart"/>
      <w:r w:rsidRPr="000A0425">
        <w:rPr>
          <w:rFonts w:ascii="Times New Roman" w:hAnsi="Times New Roman" w:cs="Times New Roman"/>
          <w:color w:val="000000" w:themeColor="text1"/>
        </w:rPr>
        <w:t>compute</w:t>
      </w:r>
      <w:proofErr w:type="gramEnd"/>
      <w:r w:rsidRPr="000A0425">
        <w:rPr>
          <w:rFonts w:ascii="Times New Roman" w:hAnsi="Times New Roman" w:cs="Times New Roman"/>
          <w:color w:val="000000" w:themeColor="text1"/>
        </w:rPr>
        <w:t xml:space="preserve"> this at the end of the run. UNCERTAIN diagnoses are counted as incorrect (the </w:t>
      </w:r>
      <w:r w:rsidRPr="000A0425">
        <w:rPr>
          <w:rFonts w:ascii="Times New Roman" w:hAnsi="Times New Roman" w:cs="Times New Roman"/>
          <w:i/>
          <w:iCs/>
          <w:color w:val="000000" w:themeColor="text1"/>
        </w:rPr>
        <w:t>full</w:t>
      </w:r>
      <w:r w:rsidRPr="000A0425">
        <w:rPr>
          <w:rFonts w:ascii="Times New Roman" w:hAnsi="Times New Roman" w:cs="Times New Roman"/>
          <w:color w:val="000000" w:themeColor="text1"/>
        </w:rPr>
        <w:t xml:space="preserve"> metric of §5.2).</w:t>
      </w:r>
    </w:p>
    <w:p w14:paraId="49910D43"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Substrate gap.</w:t>
      </w:r>
      <w:r w:rsidRPr="000A0425">
        <w:rPr>
          <w:rFonts w:ascii="Times New Roman" w:hAnsi="Times New Roman" w:cs="Times New Roman"/>
          <w:color w:val="000000" w:themeColor="text1"/>
        </w:rPr>
        <w:t xml:space="preserve"> For each scenario, </w:t>
      </w:r>
      <w:r w:rsidRPr="000A0425">
        <w:rPr>
          <w:rStyle w:val="VerbatimChar"/>
          <w:rFonts w:ascii="Times New Roman" w:hAnsi="Times New Roman" w:cs="Times New Roman"/>
          <w:color w:val="000000" w:themeColor="text1"/>
          <w:sz w:val="24"/>
        </w:rPr>
        <w:t>matched-aware accuracy − mismatched-aware accuracy</w:t>
      </w:r>
      <w:r w:rsidRPr="000A0425">
        <w:rPr>
          <w:rFonts w:ascii="Times New Roman" w:hAnsi="Times New Roman" w:cs="Times New Roman"/>
          <w:color w:val="000000" w:themeColor="text1"/>
        </w:rPr>
        <w:t>. Positive values indicate substrate mismatch is costly (the classical trap prediction); negative values indicate mismatch is beneficial.</w:t>
      </w:r>
    </w:p>
    <w:p w14:paraId="49910D4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Aware gap.</w:t>
      </w:r>
      <w:r w:rsidRPr="000A0425">
        <w:rPr>
          <w:rFonts w:ascii="Times New Roman" w:hAnsi="Times New Roman" w:cs="Times New Roman"/>
          <w:color w:val="000000" w:themeColor="text1"/>
        </w:rPr>
        <w:t xml:space="preserve"> For each scenario, </w:t>
      </w:r>
      <w:r w:rsidRPr="000A0425">
        <w:rPr>
          <w:rStyle w:val="VerbatimChar"/>
          <w:rFonts w:ascii="Times New Roman" w:hAnsi="Times New Roman" w:cs="Times New Roman"/>
          <w:color w:val="000000" w:themeColor="text1"/>
          <w:sz w:val="24"/>
        </w:rPr>
        <w:t>mismatched-aware accuracy − mismatched-naive accuracy</w:t>
      </w:r>
      <w:r w:rsidRPr="000A0425">
        <w:rPr>
          <w:rFonts w:ascii="Times New Roman" w:hAnsi="Times New Roman" w:cs="Times New Roman"/>
          <w:color w:val="000000" w:themeColor="text1"/>
        </w:rPr>
        <w:t>. Positive values indicate the aware projection benefits mismatched teams (the naive-projection pathology of the Anthropomorphization Trap).</w:t>
      </w:r>
    </w:p>
    <w:p w14:paraId="49910D45"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Initial conflict count.</w:t>
      </w:r>
      <w:r w:rsidRPr="000A0425">
        <w:rPr>
          <w:rFonts w:ascii="Times New Roman" w:hAnsi="Times New Roman" w:cs="Times New Roman"/>
          <w:color w:val="000000" w:themeColor="text1"/>
        </w:rPr>
        <w:t xml:space="preserve"> The total number of conflicts across all three agents, counted immediately after the observation phase and before any cooperation action is taken. This is the </w:t>
      </w:r>
      <w:r w:rsidRPr="000A0425">
        <w:rPr>
          <w:rFonts w:ascii="Times New Roman" w:hAnsi="Times New Roman" w:cs="Times New Roman"/>
          <w:i/>
          <w:iCs/>
          <w:color w:val="000000" w:themeColor="text1"/>
        </w:rPr>
        <w:t>sensitivity</w:t>
      </w:r>
      <w:r w:rsidRPr="000A0425">
        <w:rPr>
          <w:rFonts w:ascii="Times New Roman" w:hAnsi="Times New Roman" w:cs="Times New Roman"/>
          <w:color w:val="000000" w:themeColor="text1"/>
        </w:rPr>
        <w:t xml:space="preserve"> measure: it isolates how many conflicts the projection machinery even sees, before the interactive dynamics kick in.</w:t>
      </w:r>
    </w:p>
    <w:p w14:paraId="49910D4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Phantom/real decomposition.</w:t>
      </w:r>
      <w:r w:rsidRPr="000A0425">
        <w:rPr>
          <w:rFonts w:ascii="Times New Roman" w:hAnsi="Times New Roman" w:cs="Times New Roman"/>
          <w:color w:val="000000" w:themeColor="text1"/>
        </w:rPr>
        <w:t xml:space="preserve"> For each detected conflict </w:t>
      </w:r>
      <w:r w:rsidRPr="000A0425">
        <w:rPr>
          <w:rStyle w:val="VerbatimChar"/>
          <w:rFonts w:ascii="Times New Roman" w:hAnsi="Times New Roman" w:cs="Times New Roman"/>
          <w:color w:val="000000" w:themeColor="text1"/>
          <w:sz w:val="24"/>
        </w:rPr>
        <w:t>(node, type, teammate)</w:t>
      </w:r>
      <w:r w:rsidRPr="000A0425">
        <w:rPr>
          <w:rFonts w:ascii="Times New Roman" w:hAnsi="Times New Roman" w:cs="Times New Roman"/>
          <w:color w:val="000000" w:themeColor="text1"/>
        </w:rPr>
        <w:t xml:space="preserve"> in the initial-conflict snapshot, we classify it as </w:t>
      </w:r>
      <w:r w:rsidRPr="000A0425">
        <w:rPr>
          <w:rFonts w:ascii="Times New Roman" w:hAnsi="Times New Roman" w:cs="Times New Roman"/>
          <w:i/>
          <w:iCs/>
          <w:color w:val="000000" w:themeColor="text1"/>
        </w:rPr>
        <w:t>phantom</w:t>
      </w:r>
      <w:r w:rsidRPr="000A0425">
        <w:rPr>
          <w:rFonts w:ascii="Times New Roman" w:hAnsi="Times New Roman" w:cs="Times New Roman"/>
          <w:color w:val="000000" w:themeColor="text1"/>
        </w:rPr>
        <w:t xml:space="preserve"> if the detecting agent’s own L1 diagnosis agrees with ground truth (the mismatch with the teammate model is illusory from an oracle’s perspective — the actor is already right and the conflict-resolution action would be wasteful) or </w:t>
      </w:r>
      <w:r w:rsidRPr="000A0425">
        <w:rPr>
          <w:rFonts w:ascii="Times New Roman" w:hAnsi="Times New Roman" w:cs="Times New Roman"/>
          <w:i/>
          <w:iCs/>
          <w:color w:val="000000" w:themeColor="text1"/>
        </w:rPr>
        <w:t>real</w:t>
      </w:r>
      <w:r w:rsidRPr="000A0425">
        <w:rPr>
          <w:rFonts w:ascii="Times New Roman" w:hAnsi="Times New Roman" w:cs="Times New Roman"/>
          <w:color w:val="000000" w:themeColor="text1"/>
        </w:rPr>
        <w:t xml:space="preserve"> otherwise. This decomposition is not visible to the agents; it is computed externally for analysis only.</w:t>
      </w:r>
    </w:p>
    <w:p w14:paraId="49910D4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Specificity check.</w:t>
      </w:r>
      <w:r w:rsidRPr="000A0425">
        <w:rPr>
          <w:rFonts w:ascii="Times New Roman" w:hAnsi="Times New Roman" w:cs="Times New Roman"/>
          <w:color w:val="000000" w:themeColor="text1"/>
        </w:rPr>
        <w:t xml:space="preserve"> In each (network × axis) condition we verify that within </w:t>
      </w:r>
      <w:r w:rsidRPr="000A0425">
        <w:rPr>
          <w:rFonts w:ascii="Times New Roman" w:hAnsi="Times New Roman" w:cs="Times New Roman"/>
          <w:i/>
          <w:iCs/>
          <w:color w:val="000000" w:themeColor="text1"/>
        </w:rPr>
        <w:t>matched</w:t>
      </w:r>
      <w:r w:rsidRPr="000A0425">
        <w:rPr>
          <w:rFonts w:ascii="Times New Roman" w:hAnsi="Times New Roman" w:cs="Times New Roman"/>
          <w:color w:val="000000" w:themeColor="text1"/>
        </w:rPr>
        <w:t xml:space="preserve"> compositions, aware and naive projections produce identical initial-conflict counts — a structural expectation of the model that serves as a design-validity check.</w:t>
      </w:r>
    </w:p>
    <w:p w14:paraId="49910D48" w14:textId="77777777" w:rsidR="003D122F" w:rsidRPr="000A0425" w:rsidRDefault="007C1A26">
      <w:pPr>
        <w:pStyle w:val="Heading1"/>
        <w:rPr>
          <w:rFonts w:ascii="Times New Roman" w:hAnsi="Times New Roman" w:cs="Times New Roman"/>
          <w:color w:val="000000" w:themeColor="text1"/>
          <w:sz w:val="24"/>
          <w:szCs w:val="24"/>
        </w:rPr>
      </w:pPr>
      <w:bookmarkStart w:id="25" w:name="results"/>
      <w:bookmarkEnd w:id="21"/>
      <w:bookmarkEnd w:id="24"/>
      <w:r w:rsidRPr="000A0425">
        <w:rPr>
          <w:rFonts w:ascii="Times New Roman" w:hAnsi="Times New Roman" w:cs="Times New Roman"/>
          <w:color w:val="000000" w:themeColor="text1"/>
          <w:sz w:val="24"/>
          <w:szCs w:val="24"/>
        </w:rPr>
        <w:t>5. Results</w:t>
      </w:r>
    </w:p>
    <w:p w14:paraId="49910D49" w14:textId="77777777" w:rsidR="003D122F" w:rsidRPr="000A0425" w:rsidRDefault="007C1A26">
      <w:pPr>
        <w:pStyle w:val="Heading2"/>
        <w:rPr>
          <w:rFonts w:ascii="Times New Roman" w:hAnsi="Times New Roman" w:cs="Times New Roman"/>
          <w:color w:val="000000" w:themeColor="text1"/>
          <w:sz w:val="24"/>
          <w:szCs w:val="24"/>
        </w:rPr>
      </w:pPr>
      <w:bookmarkStart w:id="26" w:name="X993d075ea7df2817a317532a086859021369955"/>
      <w:r w:rsidRPr="000A0425">
        <w:rPr>
          <w:rFonts w:ascii="Times New Roman" w:hAnsi="Times New Roman" w:cs="Times New Roman"/>
          <w:color w:val="000000" w:themeColor="text1"/>
          <w:sz w:val="24"/>
          <w:szCs w:val="24"/>
        </w:rPr>
        <w:t>5.1 The substrate gap: signed and axis-dependent</w:t>
      </w:r>
    </w:p>
    <w:p w14:paraId="49910D4A"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Table 1 reports the substrate gap and aware gap by (network, axis) condition, aggregated across the eight hard scenarios per network.</w:t>
      </w:r>
    </w:p>
    <w:p w14:paraId="49910D4B"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Table 1. Aggregate substrate and aware gaps.</w:t>
      </w:r>
    </w:p>
    <w:tbl>
      <w:tblPr>
        <w:tblStyle w:val="Table"/>
        <w:tblW w:w="5000" w:type="pct"/>
        <w:tblLook w:val="0020" w:firstRow="1" w:lastRow="0" w:firstColumn="0" w:lastColumn="0" w:noHBand="0" w:noVBand="0"/>
      </w:tblPr>
      <w:tblGrid>
        <w:gridCol w:w="1231"/>
        <w:gridCol w:w="1405"/>
        <w:gridCol w:w="2041"/>
        <w:gridCol w:w="1238"/>
        <w:gridCol w:w="1537"/>
        <w:gridCol w:w="1908"/>
      </w:tblGrid>
      <w:tr w:rsidR="003D122F" w:rsidRPr="000A0425" w14:paraId="49910D52" w14:textId="77777777" w:rsidTr="003D122F">
        <w:trPr>
          <w:cnfStyle w:val="100000000000" w:firstRow="1" w:lastRow="0" w:firstColumn="0" w:lastColumn="0" w:oddVBand="0" w:evenVBand="0" w:oddHBand="0" w:evenHBand="0" w:firstRowFirstColumn="0" w:firstRowLastColumn="0" w:lastRowFirstColumn="0" w:lastRowLastColumn="0"/>
          <w:tblHeader/>
        </w:trPr>
        <w:tc>
          <w:tcPr>
            <w:tcW w:w="0" w:type="auto"/>
          </w:tcPr>
          <w:p w14:paraId="49910D4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Network</w:t>
            </w:r>
          </w:p>
        </w:tc>
        <w:tc>
          <w:tcPr>
            <w:tcW w:w="0" w:type="auto"/>
          </w:tcPr>
          <w:p w14:paraId="49910D4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Mismatch axis</w:t>
            </w:r>
          </w:p>
        </w:tc>
        <w:tc>
          <w:tcPr>
            <w:tcW w:w="0" w:type="auto"/>
          </w:tcPr>
          <w:p w14:paraId="49910D4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Substrate gap (m-a − mm-a)</w:t>
            </w:r>
          </w:p>
        </w:tc>
        <w:tc>
          <w:tcPr>
            <w:tcW w:w="0" w:type="auto"/>
          </w:tcPr>
          <w:p w14:paraId="49910D4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t(7), p</w:t>
            </w:r>
          </w:p>
        </w:tc>
        <w:tc>
          <w:tcPr>
            <w:tcW w:w="0" w:type="auto"/>
          </w:tcPr>
          <w:p w14:paraId="49910D50"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Positive scenarios</w:t>
            </w:r>
          </w:p>
        </w:tc>
        <w:tc>
          <w:tcPr>
            <w:tcW w:w="0" w:type="auto"/>
          </w:tcPr>
          <w:p w14:paraId="49910D5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Aware gap (mm-a − mm-n)</w:t>
            </w:r>
          </w:p>
        </w:tc>
      </w:tr>
      <w:tr w:rsidR="003D122F" w:rsidRPr="000A0425" w14:paraId="49910D59" w14:textId="77777777">
        <w:tc>
          <w:tcPr>
            <w:tcW w:w="0" w:type="auto"/>
          </w:tcPr>
          <w:p w14:paraId="49910D5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w:t>
            </w:r>
          </w:p>
        </w:tc>
        <w:tc>
          <w:tcPr>
            <w:tcW w:w="0" w:type="auto"/>
          </w:tcPr>
          <w:p w14:paraId="49910D54"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tree</w:t>
            </w:r>
          </w:p>
        </w:tc>
        <w:tc>
          <w:tcPr>
            <w:tcW w:w="0" w:type="auto"/>
          </w:tcPr>
          <w:p w14:paraId="49910D5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+0.077</w:t>
            </w:r>
          </w:p>
        </w:tc>
        <w:tc>
          <w:tcPr>
            <w:tcW w:w="0" w:type="auto"/>
          </w:tcPr>
          <w:p w14:paraId="49910D5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+7.24, &lt;0.001</w:t>
            </w:r>
          </w:p>
        </w:tc>
        <w:tc>
          <w:tcPr>
            <w:tcW w:w="0" w:type="auto"/>
          </w:tcPr>
          <w:p w14:paraId="49910D5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c>
          <w:tcPr>
            <w:tcW w:w="0" w:type="auto"/>
          </w:tcPr>
          <w:p w14:paraId="49910D5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0.020</w:t>
            </w:r>
          </w:p>
        </w:tc>
      </w:tr>
      <w:tr w:rsidR="003D122F" w:rsidRPr="000A0425" w14:paraId="49910D60" w14:textId="77777777">
        <w:tc>
          <w:tcPr>
            <w:tcW w:w="0" w:type="auto"/>
          </w:tcPr>
          <w:p w14:paraId="49910D5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w:t>
            </w:r>
          </w:p>
        </w:tc>
        <w:tc>
          <w:tcPr>
            <w:tcW w:w="0" w:type="auto"/>
          </w:tcPr>
          <w:p w14:paraId="49910D5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tree</w:t>
            </w:r>
          </w:p>
        </w:tc>
        <w:tc>
          <w:tcPr>
            <w:tcW w:w="0" w:type="auto"/>
          </w:tcPr>
          <w:p w14:paraId="49910D5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+0.053</w:t>
            </w:r>
          </w:p>
        </w:tc>
        <w:tc>
          <w:tcPr>
            <w:tcW w:w="0" w:type="auto"/>
          </w:tcPr>
          <w:p w14:paraId="49910D5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+5.53, 0.001</w:t>
            </w:r>
          </w:p>
        </w:tc>
        <w:tc>
          <w:tcPr>
            <w:tcW w:w="0" w:type="auto"/>
          </w:tcPr>
          <w:p w14:paraId="49910D5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c>
          <w:tcPr>
            <w:tcW w:w="0" w:type="auto"/>
          </w:tcPr>
          <w:p w14:paraId="49910D5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+0.023</w:t>
            </w:r>
          </w:p>
        </w:tc>
      </w:tr>
      <w:tr w:rsidR="003D122F" w:rsidRPr="000A0425" w14:paraId="49910D67" w14:textId="77777777">
        <w:tc>
          <w:tcPr>
            <w:tcW w:w="0" w:type="auto"/>
          </w:tcPr>
          <w:p w14:paraId="49910D6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w:t>
            </w:r>
          </w:p>
        </w:tc>
        <w:tc>
          <w:tcPr>
            <w:tcW w:w="0" w:type="auto"/>
          </w:tcPr>
          <w:p w14:paraId="49910D62"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markov</w:t>
            </w:r>
          </w:p>
        </w:tc>
        <w:tc>
          <w:tcPr>
            <w:tcW w:w="0" w:type="auto"/>
          </w:tcPr>
          <w:p w14:paraId="49910D6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w:t>
            </w:r>
            <w:r w:rsidRPr="000A0425">
              <w:rPr>
                <w:rFonts w:ascii="Times New Roman" w:hAnsi="Times New Roman" w:cs="Times New Roman"/>
                <w:b/>
                <w:bCs/>
                <w:color w:val="000000" w:themeColor="text1"/>
              </w:rPr>
              <w:t>0.019</w:t>
            </w:r>
          </w:p>
        </w:tc>
        <w:tc>
          <w:tcPr>
            <w:tcW w:w="0" w:type="auto"/>
          </w:tcPr>
          <w:p w14:paraId="49910D64"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0.95, 0.37</w:t>
            </w:r>
          </w:p>
        </w:tc>
        <w:tc>
          <w:tcPr>
            <w:tcW w:w="0" w:type="auto"/>
          </w:tcPr>
          <w:p w14:paraId="49910D6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3/8</w:t>
            </w:r>
          </w:p>
        </w:tc>
        <w:tc>
          <w:tcPr>
            <w:tcW w:w="0" w:type="auto"/>
          </w:tcPr>
          <w:p w14:paraId="49910D6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+0.017</w:t>
            </w:r>
          </w:p>
        </w:tc>
      </w:tr>
      <w:tr w:rsidR="003D122F" w:rsidRPr="000A0425" w14:paraId="49910D6E" w14:textId="77777777">
        <w:tc>
          <w:tcPr>
            <w:tcW w:w="0" w:type="auto"/>
          </w:tcPr>
          <w:p w14:paraId="49910D6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w:t>
            </w:r>
          </w:p>
        </w:tc>
        <w:tc>
          <w:tcPr>
            <w:tcW w:w="0" w:type="auto"/>
          </w:tcPr>
          <w:p w14:paraId="49910D6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markov</w:t>
            </w:r>
          </w:p>
        </w:tc>
        <w:tc>
          <w:tcPr>
            <w:tcW w:w="0" w:type="auto"/>
          </w:tcPr>
          <w:p w14:paraId="49910D6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w:t>
            </w:r>
            <w:r w:rsidRPr="000A0425">
              <w:rPr>
                <w:rFonts w:ascii="Times New Roman" w:hAnsi="Times New Roman" w:cs="Times New Roman"/>
                <w:b/>
                <w:bCs/>
                <w:color w:val="000000" w:themeColor="text1"/>
              </w:rPr>
              <w:t>0.002</w:t>
            </w:r>
          </w:p>
        </w:tc>
        <w:tc>
          <w:tcPr>
            <w:tcW w:w="0" w:type="auto"/>
          </w:tcPr>
          <w:p w14:paraId="49910D6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0.29, 0.78</w:t>
            </w:r>
          </w:p>
        </w:tc>
        <w:tc>
          <w:tcPr>
            <w:tcW w:w="0" w:type="auto"/>
          </w:tcPr>
          <w:p w14:paraId="49910D6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4/8</w:t>
            </w:r>
          </w:p>
        </w:tc>
        <w:tc>
          <w:tcPr>
            <w:tcW w:w="0" w:type="auto"/>
          </w:tcPr>
          <w:p w14:paraId="49910D6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+0.004</w:t>
            </w:r>
          </w:p>
        </w:tc>
      </w:tr>
    </w:tbl>
    <w:p w14:paraId="49910D6F" w14:textId="26BBA6C4"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substrate gap has a clear, replicable positive sign whenever the mismatched substrate is the </w:t>
      </w:r>
      <w:r w:rsidRPr="000A0425">
        <w:rPr>
          <w:rFonts w:ascii="Times New Roman" w:hAnsi="Times New Roman" w:cs="Times New Roman"/>
          <w:i/>
          <w:iCs/>
          <w:color w:val="000000" w:themeColor="text1"/>
        </w:rPr>
        <w:t>tree</w:t>
      </w:r>
      <w:r w:rsidRPr="000A0425">
        <w:rPr>
          <w:rFonts w:ascii="Times New Roman" w:hAnsi="Times New Roman" w:cs="Times New Roman"/>
          <w:color w:val="000000" w:themeColor="text1"/>
        </w:rPr>
        <w:t xml:space="preserve"> engine, </w:t>
      </w:r>
      <w:r w:rsidR="006869F4" w:rsidRPr="000A0425">
        <w:rPr>
          <w:rFonts w:ascii="Times New Roman" w:hAnsi="Times New Roman" w:cs="Times New Roman"/>
          <w:color w:val="000000" w:themeColor="text1"/>
        </w:rPr>
        <w:t>across both networks (t ≥ 5.5, p ≤ 0.001; 8/8 per-scenario replications</w:t>
      </w:r>
      <w:r w:rsidRPr="000A0425">
        <w:rPr>
          <w:rFonts w:ascii="Times New Roman" w:hAnsi="Times New Roman" w:cs="Times New Roman"/>
          <w:color w:val="000000" w:themeColor="text1"/>
        </w:rPr>
        <w:t xml:space="preserve"> in both). This is the classical substrate-mismatch cost. When the mismatched substrate is the </w:t>
      </w:r>
      <w:r w:rsidRPr="000A0425">
        <w:rPr>
          <w:rFonts w:ascii="Times New Roman" w:hAnsi="Times New Roman" w:cs="Times New Roman"/>
          <w:i/>
          <w:iCs/>
          <w:color w:val="000000" w:themeColor="text1"/>
        </w:rPr>
        <w:t>Markov</w:t>
      </w:r>
      <w:r w:rsidRPr="000A0425">
        <w:rPr>
          <w:rFonts w:ascii="Times New Roman" w:hAnsi="Times New Roman" w:cs="Times New Roman"/>
          <w:color w:val="000000" w:themeColor="text1"/>
        </w:rPr>
        <w:t xml:space="preserve"> engine, however, the gap is at best zero and at worst mildly </w:t>
      </w:r>
      <w:r w:rsidRPr="000A0425">
        <w:rPr>
          <w:rFonts w:ascii="Times New Roman" w:hAnsi="Times New Roman" w:cs="Times New Roman"/>
          <w:i/>
          <w:iCs/>
          <w:color w:val="000000" w:themeColor="text1"/>
        </w:rPr>
        <w:t>negative</w:t>
      </w:r>
      <w:r w:rsidRPr="000A0425">
        <w:rPr>
          <w:rFonts w:ascii="Times New Roman" w:hAnsi="Times New Roman" w:cs="Times New Roman"/>
          <w:color w:val="000000" w:themeColor="text1"/>
        </w:rPr>
        <w:t xml:space="preserve"> — mismatched teams marginally beat matched teams on Domain17 (mean −0.019, though not statistically distinguishable from zero at N=15</w:t>
      </w:r>
      <w:proofErr w:type="gramStart"/>
      <w:r w:rsidRPr="000A0425">
        <w:rPr>
          <w:rFonts w:ascii="Times New Roman" w:hAnsi="Times New Roman" w:cs="Times New Roman"/>
          <w:color w:val="000000" w:themeColor="text1"/>
        </w:rPr>
        <w:t>), and</w:t>
      </w:r>
      <w:proofErr w:type="gramEnd"/>
      <w:r w:rsidRPr="000A0425">
        <w:rPr>
          <w:rFonts w:ascii="Times New Roman" w:hAnsi="Times New Roman" w:cs="Times New Roman"/>
          <w:color w:val="000000" w:themeColor="text1"/>
        </w:rPr>
        <w:t xml:space="preserve"> are indistinguishable from matched teams on Kanno (mean −0.002).</w:t>
      </w:r>
    </w:p>
    <w:p w14:paraId="49910D70"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drawing>
          <wp:inline distT="0" distB="0" distL="0" distR="0" wp14:anchorId="49910E44" wp14:editId="49910E45">
            <wp:extent cx="5067300" cy="3059501"/>
            <wp:effectExtent l="0" t="0" r="0" b="0"/>
            <wp:docPr id="58" name="Picture" descr="Figure 5. Substrate gap by (network × mismatched axis). Bars show mean, dots show per-scenario values, error bars are ±1 SE. Tree-axis conditions produce a robust positive substrate gap (matched wins, classical trap); Markov-axis conditions produce a null or mildly negative gap (mismatched wins or ties, inverted regime)."/>
            <wp:cNvGraphicFramePr/>
            <a:graphic xmlns:a="http://schemas.openxmlformats.org/drawingml/2006/main">
              <a:graphicData uri="http://schemas.openxmlformats.org/drawingml/2006/picture">
                <pic:pic xmlns:pic="http://schemas.openxmlformats.org/drawingml/2006/picture">
                  <pic:nvPicPr>
                    <pic:cNvPr id="59" name="Picture" descr="figs/fig5_substrate_gap.png"/>
                    <pic:cNvPicPr>
                      <a:picLocks noChangeAspect="1" noChangeArrowheads="1"/>
                    </pic:cNvPicPr>
                  </pic:nvPicPr>
                  <pic:blipFill>
                    <a:blip r:embed="rId11"/>
                    <a:stretch>
                      <a:fillRect/>
                    </a:stretch>
                  </pic:blipFill>
                  <pic:spPr bwMode="auto">
                    <a:xfrm>
                      <a:off x="0" y="0"/>
                      <a:ext cx="5067300" cy="3059501"/>
                    </a:xfrm>
                    <a:prstGeom prst="rect">
                      <a:avLst/>
                    </a:prstGeom>
                    <a:noFill/>
                    <a:ln w="9525">
                      <a:noFill/>
                      <a:headEnd/>
                      <a:tailEnd/>
                    </a:ln>
                  </pic:spPr>
                </pic:pic>
              </a:graphicData>
            </a:graphic>
          </wp:inline>
        </w:drawing>
      </w:r>
    </w:p>
    <w:p w14:paraId="49910D71"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5. Substrate gap by (network × mismatched axis). Bars show mean, dots show per-scenario values, error bars are ±1 SE. Tree-axis conditions produce a robust positive substrate gap (matched wins, classical trap); Markov-axis conditions produce a null or mildly negative gap (mismatched wins or ties, inverted regime).</w:t>
      </w:r>
    </w:p>
    <w:p w14:paraId="49910D72"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aware gap — the classical Anthropomorphization Trap signal — is at aggregate positive but small and not statistically robust in any single condition. </w:t>
      </w:r>
      <w:proofErr w:type="gramStart"/>
      <w:r w:rsidRPr="000A0425">
        <w:rPr>
          <w:rFonts w:ascii="Times New Roman" w:hAnsi="Times New Roman" w:cs="Times New Roman"/>
          <w:color w:val="000000" w:themeColor="text1"/>
        </w:rPr>
        <w:t>This aggregate obscures</w:t>
      </w:r>
      <w:proofErr w:type="gramEnd"/>
      <w:r w:rsidRPr="000A0425">
        <w:rPr>
          <w:rFonts w:ascii="Times New Roman" w:hAnsi="Times New Roman" w:cs="Times New Roman"/>
          <w:color w:val="000000" w:themeColor="text1"/>
        </w:rPr>
        <w:t xml:space="preserve"> a scenario-level structure documented in prior work on this dataset: on Kanno-tree, the aware gap splits by fault type (dead battery: aware &gt; naive; weak battery: naive &gt; aware), producing a scenario-conditional trade-off rather than a monotone trap. We return to this in the discussion.</w:t>
      </w:r>
    </w:p>
    <w:p w14:paraId="49910D73" w14:textId="77777777" w:rsidR="003D122F" w:rsidRPr="000A0425" w:rsidRDefault="007C1A26">
      <w:pPr>
        <w:pStyle w:val="Heading2"/>
        <w:rPr>
          <w:rFonts w:ascii="Times New Roman" w:hAnsi="Times New Roman" w:cs="Times New Roman"/>
          <w:color w:val="000000" w:themeColor="text1"/>
          <w:sz w:val="24"/>
          <w:szCs w:val="24"/>
        </w:rPr>
      </w:pPr>
      <w:bookmarkStart w:id="27" w:name="X31ff1b414dc9086e71a106ae3c6181227e2b022"/>
      <w:bookmarkEnd w:id="26"/>
      <w:r w:rsidRPr="000A0425">
        <w:rPr>
          <w:rFonts w:ascii="Times New Roman" w:hAnsi="Times New Roman" w:cs="Times New Roman"/>
          <w:color w:val="000000" w:themeColor="text1"/>
          <w:sz w:val="24"/>
          <w:szCs w:val="24"/>
        </w:rPr>
        <w:lastRenderedPageBreak/>
        <w:t>5.2 Metric-dependence: does the sign flip under abstention-aware accuracy?</w:t>
      </w:r>
    </w:p>
    <w:p w14:paraId="49910D74" w14:textId="5C869BCE"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Before proceeding </w:t>
      </w:r>
      <w:proofErr w:type="gramStart"/>
      <w:r w:rsidRPr="000A0425">
        <w:rPr>
          <w:rFonts w:ascii="Times New Roman" w:hAnsi="Times New Roman" w:cs="Times New Roman"/>
          <w:color w:val="000000" w:themeColor="text1"/>
        </w:rPr>
        <w:t>to</w:t>
      </w:r>
      <w:proofErr w:type="gramEnd"/>
      <w:r w:rsidRPr="000A0425">
        <w:rPr>
          <w:rFonts w:ascii="Times New Roman" w:hAnsi="Times New Roman" w:cs="Times New Roman"/>
          <w:color w:val="000000" w:themeColor="text1"/>
        </w:rPr>
        <w:t xml:space="preserve"> the mechanism analysis, we address a natural concern: because the full team-accuracy metric treats UNCERTAIN diagnoses as errors, differences in commitment </w:t>
      </w:r>
      <w:r w:rsidR="006869F4" w:rsidRPr="000A0425">
        <w:rPr>
          <w:rFonts w:ascii="Times New Roman" w:hAnsi="Times New Roman" w:cs="Times New Roman"/>
          <w:color w:val="000000" w:themeColor="text1"/>
        </w:rPr>
        <w:t>rates across cells could mechanically inflate (or deflate</w:t>
      </w:r>
      <w:r w:rsidRPr="000A0425">
        <w:rPr>
          <w:rFonts w:ascii="Times New Roman" w:hAnsi="Times New Roman" w:cs="Times New Roman"/>
          <w:color w:val="000000" w:themeColor="text1"/>
        </w:rPr>
        <w:t xml:space="preserve">) the substrate gap. To test this, we compute an alternative </w:t>
      </w:r>
      <w:r w:rsidRPr="000A0425">
        <w:rPr>
          <w:rFonts w:ascii="Times New Roman" w:hAnsi="Times New Roman" w:cs="Times New Roman"/>
          <w:i/>
          <w:iCs/>
          <w:color w:val="000000" w:themeColor="text1"/>
        </w:rPr>
        <w:t>committed accuracy</w:t>
      </w:r>
      <w:r w:rsidRPr="000A0425">
        <w:rPr>
          <w:rFonts w:ascii="Times New Roman" w:hAnsi="Times New Roman" w:cs="Times New Roman"/>
          <w:color w:val="000000" w:themeColor="text1"/>
        </w:rPr>
        <w:t xml:space="preserve"> metric that scores only nodes where an agent’s diagnosis is not UNCERTAIN (</w:t>
      </w:r>
      <w:proofErr w:type="gramStart"/>
      <w:r w:rsidRPr="000A0425">
        <w:rPr>
          <w:rFonts w:ascii="Times New Roman" w:hAnsi="Times New Roman" w:cs="Times New Roman"/>
          <w:color w:val="000000" w:themeColor="text1"/>
        </w:rPr>
        <w:t>correct / #</w:t>
      </w:r>
      <w:proofErr w:type="gramEnd"/>
      <w:r w:rsidRPr="000A0425">
        <w:rPr>
          <w:rFonts w:ascii="Times New Roman" w:hAnsi="Times New Roman" w:cs="Times New Roman"/>
          <w:color w:val="000000" w:themeColor="text1"/>
        </w:rPr>
        <w:t>committed), so that abstention neither helps nor hurts.</w:t>
      </w:r>
    </w:p>
    <w:p w14:paraId="49910D75" w14:textId="6237A104"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For the domain17-Markov condition — the cell where the sign might most plausibly reverse — we ran the full 2×2</w:t>
      </w:r>
      <w:r w:rsidR="00B60280" w:rsidRPr="000A0425">
        <w:rPr>
          <w:rFonts w:ascii="Times New Roman" w:hAnsi="Times New Roman" w:cs="Times New Roman"/>
          <w:color w:val="000000" w:themeColor="text1"/>
        </w:rPr>
        <w:t>, with both metrics reported side by side</w:t>
      </w:r>
      <w:r w:rsidRPr="000A0425">
        <w:rPr>
          <w:rFonts w:ascii="Times New Roman" w:hAnsi="Times New Roman" w:cs="Times New Roman"/>
          <w:color w:val="000000" w:themeColor="text1"/>
        </w:rPr>
        <w:t xml:space="preserve">. The aggregate substrate gap under the full metric is −0.019 (t = −0.95, p = 0.37, 3/8 scenarios contradict); under the committed metric it is −0.033 (t = −2.91, </w:t>
      </w:r>
      <w:r w:rsidRPr="000A0425">
        <w:rPr>
          <w:rFonts w:ascii="Times New Roman" w:hAnsi="Times New Roman" w:cs="Times New Roman"/>
          <w:b/>
          <w:bCs/>
          <w:color w:val="000000" w:themeColor="text1"/>
        </w:rPr>
        <w:t>p = 0.023</w:t>
      </w:r>
      <w:r w:rsidRPr="000A0425">
        <w:rPr>
          <w:rFonts w:ascii="Times New Roman" w:hAnsi="Times New Roman" w:cs="Times New Roman"/>
          <w:color w:val="000000" w:themeColor="text1"/>
        </w:rPr>
        <w:t>, 0/8 scenarios contradict). The sign does not flip; the effect becomes stronger and cleaner under the abstention-aware metric, moving from statistically undecidable to a clear negative result. Per-scenario, 3 of 8 scenarios flip sign between the two metrics, but the aggregate sign is unchanged.</w:t>
      </w:r>
    </w:p>
    <w:p w14:paraId="49910D76" w14:textId="2A76BD48"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w:t>
      </w:r>
      <w:r w:rsidR="007D3600" w:rsidRPr="000A0425">
        <w:rPr>
          <w:rFonts w:ascii="Times New Roman" w:hAnsi="Times New Roman" w:cs="Times New Roman"/>
          <w:color w:val="000000" w:themeColor="text1"/>
        </w:rPr>
        <w:t>metric dependence</w:t>
      </w:r>
      <w:r w:rsidRPr="000A0425">
        <w:rPr>
          <w:rFonts w:ascii="Times New Roman" w:hAnsi="Times New Roman" w:cs="Times New Roman"/>
          <w:color w:val="000000" w:themeColor="text1"/>
        </w:rPr>
        <w:t xml:space="preserve"> is fully explained mechanically by cell-level commitment rates: the Pearson correlation between the per-scenario commit-rate difference (matched-aware minus mismatched-aware) and the per-scenario full-committed metric difference is r = +0.96, p &lt; 0.001. Whenever the matched-aware team commits more than the mismatched-aware team, the full metric rewards it disproportionately relative to the committed metric. In this dataset, aggregate commit rates are essentially equal across cells (matched-aware 0.708, mis</w:t>
      </w:r>
      <w:r w:rsidRPr="000A0425">
        <w:rPr>
          <w:rFonts w:ascii="Times New Roman" w:hAnsi="Times New Roman" w:cs="Times New Roman"/>
          <w:color w:val="000000" w:themeColor="text1"/>
        </w:rPr>
        <w:t>matched-aware 0.707), so the aggregate sub_gap is stable across metrics even though individual scenarios can flip.</w:t>
      </w:r>
    </w:p>
    <w:p w14:paraId="49910D7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We interpret this as evidence that the Markov surprise is not an abstention artifact. From this point on, all analyses use the full metric for continuity with the EMBM literature.</w:t>
      </w:r>
    </w:p>
    <w:p w14:paraId="49910D78" w14:textId="77777777" w:rsidR="003D122F" w:rsidRPr="000A0425" w:rsidRDefault="007C1A26">
      <w:pPr>
        <w:pStyle w:val="Heading2"/>
        <w:rPr>
          <w:rFonts w:ascii="Times New Roman" w:hAnsi="Times New Roman" w:cs="Times New Roman"/>
          <w:color w:val="000000" w:themeColor="text1"/>
          <w:sz w:val="24"/>
          <w:szCs w:val="24"/>
        </w:rPr>
      </w:pPr>
      <w:bookmarkStart w:id="28" w:name="X09d93a22ad712200ef20c1bd860215e84fd073b"/>
      <w:bookmarkEnd w:id="27"/>
      <w:r w:rsidRPr="000A0425">
        <w:rPr>
          <w:rFonts w:ascii="Times New Roman" w:hAnsi="Times New Roman" w:cs="Times New Roman"/>
          <w:color w:val="000000" w:themeColor="text1"/>
          <w:sz w:val="24"/>
          <w:szCs w:val="24"/>
        </w:rPr>
        <w:t>5.3 The sensitivity mechanism: mismatched-aware teams detect more conflicts</w:t>
      </w:r>
    </w:p>
    <w:p w14:paraId="49910D79"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Table 2 reports the initial conflict counts by cell and the (mismatched-aware minus matched-aware) contrast.</w:t>
      </w:r>
    </w:p>
    <w:p w14:paraId="49910D7A"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Table 2. Initial conflict counts and the sensitivity contrast.</w:t>
      </w:r>
    </w:p>
    <w:tbl>
      <w:tblPr>
        <w:tblStyle w:val="Table"/>
        <w:tblW w:w="5000" w:type="pct"/>
        <w:tblLook w:val="0020" w:firstRow="1" w:lastRow="0" w:firstColumn="0" w:lastColumn="0" w:noHBand="0" w:noVBand="0"/>
      </w:tblPr>
      <w:tblGrid>
        <w:gridCol w:w="2110"/>
        <w:gridCol w:w="789"/>
        <w:gridCol w:w="789"/>
        <w:gridCol w:w="809"/>
        <w:gridCol w:w="824"/>
        <w:gridCol w:w="1466"/>
        <w:gridCol w:w="930"/>
        <w:gridCol w:w="1056"/>
        <w:gridCol w:w="587"/>
      </w:tblGrid>
      <w:tr w:rsidR="003D122F" w:rsidRPr="000A0425" w14:paraId="49910D84" w14:textId="77777777" w:rsidTr="003D122F">
        <w:trPr>
          <w:cnfStyle w:val="100000000000" w:firstRow="1" w:lastRow="0" w:firstColumn="0" w:lastColumn="0" w:oddVBand="0" w:evenVBand="0" w:oddHBand="0" w:evenHBand="0" w:firstRowFirstColumn="0" w:firstRowLastColumn="0" w:lastRowFirstColumn="0" w:lastRowLastColumn="0"/>
          <w:tblHeader/>
        </w:trPr>
        <w:tc>
          <w:tcPr>
            <w:tcW w:w="0" w:type="auto"/>
          </w:tcPr>
          <w:p w14:paraId="49910D7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Cell</w:t>
            </w:r>
          </w:p>
        </w:tc>
        <w:tc>
          <w:tcPr>
            <w:tcW w:w="0" w:type="auto"/>
          </w:tcPr>
          <w:p w14:paraId="49910D7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m-a</w:t>
            </w:r>
          </w:p>
        </w:tc>
        <w:tc>
          <w:tcPr>
            <w:tcW w:w="0" w:type="auto"/>
          </w:tcPr>
          <w:p w14:paraId="49910D7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m-n</w:t>
            </w:r>
          </w:p>
        </w:tc>
        <w:tc>
          <w:tcPr>
            <w:tcW w:w="0" w:type="auto"/>
          </w:tcPr>
          <w:p w14:paraId="49910D7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mm-a</w:t>
            </w:r>
          </w:p>
        </w:tc>
        <w:tc>
          <w:tcPr>
            <w:tcW w:w="0" w:type="auto"/>
          </w:tcPr>
          <w:p w14:paraId="49910D7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mm-n</w:t>
            </w:r>
          </w:p>
        </w:tc>
        <w:tc>
          <w:tcPr>
            <w:tcW w:w="0" w:type="auto"/>
          </w:tcPr>
          <w:p w14:paraId="49910D80"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mm-a − m-a</w:t>
            </w:r>
          </w:p>
        </w:tc>
        <w:tc>
          <w:tcPr>
            <w:tcW w:w="0" w:type="auto"/>
          </w:tcPr>
          <w:p w14:paraId="49910D8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t(7)</w:t>
            </w:r>
          </w:p>
        </w:tc>
        <w:tc>
          <w:tcPr>
            <w:tcW w:w="0" w:type="auto"/>
          </w:tcPr>
          <w:p w14:paraId="49910D82"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p</w:t>
            </w:r>
          </w:p>
        </w:tc>
        <w:tc>
          <w:tcPr>
            <w:tcW w:w="0" w:type="auto"/>
          </w:tcPr>
          <w:p w14:paraId="49910D8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Pos</w:t>
            </w:r>
          </w:p>
        </w:tc>
      </w:tr>
      <w:tr w:rsidR="003D122F" w:rsidRPr="000A0425" w14:paraId="49910D8E" w14:textId="77777777">
        <w:tc>
          <w:tcPr>
            <w:tcW w:w="0" w:type="auto"/>
          </w:tcPr>
          <w:p w14:paraId="49910D8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 tree</w:t>
            </w:r>
          </w:p>
        </w:tc>
        <w:tc>
          <w:tcPr>
            <w:tcW w:w="0" w:type="auto"/>
          </w:tcPr>
          <w:p w14:paraId="49910D8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13.50</w:t>
            </w:r>
          </w:p>
        </w:tc>
        <w:tc>
          <w:tcPr>
            <w:tcW w:w="0" w:type="auto"/>
          </w:tcPr>
          <w:p w14:paraId="49910D8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13.50</w:t>
            </w:r>
          </w:p>
        </w:tc>
        <w:tc>
          <w:tcPr>
            <w:tcW w:w="0" w:type="auto"/>
          </w:tcPr>
          <w:p w14:paraId="49910D8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44.25</w:t>
            </w:r>
          </w:p>
        </w:tc>
        <w:tc>
          <w:tcPr>
            <w:tcW w:w="0" w:type="auto"/>
          </w:tcPr>
          <w:p w14:paraId="49910D8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6.75</w:t>
            </w:r>
          </w:p>
        </w:tc>
        <w:tc>
          <w:tcPr>
            <w:tcW w:w="0" w:type="auto"/>
          </w:tcPr>
          <w:p w14:paraId="49910D8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+30.75</w:t>
            </w:r>
          </w:p>
        </w:tc>
        <w:tc>
          <w:tcPr>
            <w:tcW w:w="0" w:type="auto"/>
          </w:tcPr>
          <w:p w14:paraId="49910D8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+12.87</w:t>
            </w:r>
          </w:p>
        </w:tc>
        <w:tc>
          <w:tcPr>
            <w:tcW w:w="0" w:type="auto"/>
          </w:tcPr>
          <w:p w14:paraId="49910D8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&lt;0.0001</w:t>
            </w:r>
          </w:p>
        </w:tc>
        <w:tc>
          <w:tcPr>
            <w:tcW w:w="0" w:type="auto"/>
          </w:tcPr>
          <w:p w14:paraId="49910D8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r>
      <w:tr w:rsidR="003D122F" w:rsidRPr="000A0425" w14:paraId="49910D98" w14:textId="77777777">
        <w:tc>
          <w:tcPr>
            <w:tcW w:w="0" w:type="auto"/>
          </w:tcPr>
          <w:p w14:paraId="49910D8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 markov</w:t>
            </w:r>
          </w:p>
        </w:tc>
        <w:tc>
          <w:tcPr>
            <w:tcW w:w="0" w:type="auto"/>
          </w:tcPr>
          <w:p w14:paraId="49910D90"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13.50</w:t>
            </w:r>
          </w:p>
        </w:tc>
        <w:tc>
          <w:tcPr>
            <w:tcW w:w="0" w:type="auto"/>
          </w:tcPr>
          <w:p w14:paraId="49910D9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13.50</w:t>
            </w:r>
          </w:p>
        </w:tc>
        <w:tc>
          <w:tcPr>
            <w:tcW w:w="0" w:type="auto"/>
          </w:tcPr>
          <w:p w14:paraId="49910D92"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34.88</w:t>
            </w:r>
          </w:p>
        </w:tc>
        <w:tc>
          <w:tcPr>
            <w:tcW w:w="0" w:type="auto"/>
          </w:tcPr>
          <w:p w14:paraId="49910D9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6.75</w:t>
            </w:r>
          </w:p>
        </w:tc>
        <w:tc>
          <w:tcPr>
            <w:tcW w:w="0" w:type="auto"/>
          </w:tcPr>
          <w:p w14:paraId="49910D94"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+21.38</w:t>
            </w:r>
          </w:p>
        </w:tc>
        <w:tc>
          <w:tcPr>
            <w:tcW w:w="0" w:type="auto"/>
          </w:tcPr>
          <w:p w14:paraId="49910D9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+11.15</w:t>
            </w:r>
          </w:p>
        </w:tc>
        <w:tc>
          <w:tcPr>
            <w:tcW w:w="0" w:type="auto"/>
          </w:tcPr>
          <w:p w14:paraId="49910D9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&lt;0.0001</w:t>
            </w:r>
          </w:p>
        </w:tc>
        <w:tc>
          <w:tcPr>
            <w:tcW w:w="0" w:type="auto"/>
          </w:tcPr>
          <w:p w14:paraId="49910D9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r>
      <w:tr w:rsidR="003D122F" w:rsidRPr="000A0425" w14:paraId="49910DA2" w14:textId="77777777">
        <w:tc>
          <w:tcPr>
            <w:tcW w:w="0" w:type="auto"/>
          </w:tcPr>
          <w:p w14:paraId="49910D9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 tree</w:t>
            </w:r>
          </w:p>
        </w:tc>
        <w:tc>
          <w:tcPr>
            <w:tcW w:w="0" w:type="auto"/>
          </w:tcPr>
          <w:p w14:paraId="49910D9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12.75</w:t>
            </w:r>
          </w:p>
        </w:tc>
        <w:tc>
          <w:tcPr>
            <w:tcW w:w="0" w:type="auto"/>
          </w:tcPr>
          <w:p w14:paraId="49910D9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12.75</w:t>
            </w:r>
          </w:p>
        </w:tc>
        <w:tc>
          <w:tcPr>
            <w:tcW w:w="0" w:type="auto"/>
          </w:tcPr>
          <w:p w14:paraId="49910D9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22.88</w:t>
            </w:r>
          </w:p>
        </w:tc>
        <w:tc>
          <w:tcPr>
            <w:tcW w:w="0" w:type="auto"/>
          </w:tcPr>
          <w:p w14:paraId="49910D9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3.75</w:t>
            </w:r>
          </w:p>
        </w:tc>
        <w:tc>
          <w:tcPr>
            <w:tcW w:w="0" w:type="auto"/>
          </w:tcPr>
          <w:p w14:paraId="49910D9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+10.12</w:t>
            </w:r>
          </w:p>
        </w:tc>
        <w:tc>
          <w:tcPr>
            <w:tcW w:w="0" w:type="auto"/>
          </w:tcPr>
          <w:p w14:paraId="49910D9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+8.04</w:t>
            </w:r>
          </w:p>
        </w:tc>
        <w:tc>
          <w:tcPr>
            <w:tcW w:w="0" w:type="auto"/>
          </w:tcPr>
          <w:p w14:paraId="49910DA0"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0.0001</w:t>
            </w:r>
          </w:p>
        </w:tc>
        <w:tc>
          <w:tcPr>
            <w:tcW w:w="0" w:type="auto"/>
          </w:tcPr>
          <w:p w14:paraId="49910DA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r>
      <w:tr w:rsidR="003D122F" w:rsidRPr="000A0425" w14:paraId="49910DAC" w14:textId="77777777">
        <w:tc>
          <w:tcPr>
            <w:tcW w:w="0" w:type="auto"/>
          </w:tcPr>
          <w:p w14:paraId="49910DA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 markov</w:t>
            </w:r>
          </w:p>
        </w:tc>
        <w:tc>
          <w:tcPr>
            <w:tcW w:w="0" w:type="auto"/>
          </w:tcPr>
          <w:p w14:paraId="49910DA4"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12.75</w:t>
            </w:r>
          </w:p>
        </w:tc>
        <w:tc>
          <w:tcPr>
            <w:tcW w:w="0" w:type="auto"/>
          </w:tcPr>
          <w:p w14:paraId="49910DA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12.75</w:t>
            </w:r>
          </w:p>
        </w:tc>
        <w:tc>
          <w:tcPr>
            <w:tcW w:w="0" w:type="auto"/>
          </w:tcPr>
          <w:p w14:paraId="49910DA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15.38</w:t>
            </w:r>
          </w:p>
        </w:tc>
        <w:tc>
          <w:tcPr>
            <w:tcW w:w="0" w:type="auto"/>
          </w:tcPr>
          <w:p w14:paraId="49910DA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12.75</w:t>
            </w:r>
          </w:p>
        </w:tc>
        <w:tc>
          <w:tcPr>
            <w:tcW w:w="0" w:type="auto"/>
          </w:tcPr>
          <w:p w14:paraId="49910DA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+2.62</w:t>
            </w:r>
          </w:p>
        </w:tc>
        <w:tc>
          <w:tcPr>
            <w:tcW w:w="0" w:type="auto"/>
          </w:tcPr>
          <w:p w14:paraId="49910DA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+3.86</w:t>
            </w:r>
          </w:p>
        </w:tc>
        <w:tc>
          <w:tcPr>
            <w:tcW w:w="0" w:type="auto"/>
          </w:tcPr>
          <w:p w14:paraId="49910DA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0.006</w:t>
            </w:r>
          </w:p>
        </w:tc>
        <w:tc>
          <w:tcPr>
            <w:tcW w:w="0" w:type="auto"/>
          </w:tcPr>
          <w:p w14:paraId="49910DA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6/8</w:t>
            </w:r>
          </w:p>
        </w:tc>
      </w:tr>
    </w:tbl>
    <w:p w14:paraId="49910DAD"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lastRenderedPageBreak/>
        <w:drawing>
          <wp:inline distT="0" distB="0" distL="0" distR="0" wp14:anchorId="49910E46" wp14:editId="49910E47">
            <wp:extent cx="5334000" cy="2724222"/>
            <wp:effectExtent l="0" t="0" r="0" b="0"/>
            <wp:docPr id="63" name="Picture" descr="Figure 6. Initial conflict counts across the 2×2×2 design. Matched-aware and matched-naive produce identical counts in every cell (specificity check); mismatched-aware dramatically exceeds matched-aware in every cell (sensitivity gain, red arrow shown for Domain17-Tree); mismatched-naive collapses back below matched-aware in every cell (naive suppression, green arrow shown for Domain17-Tree)."/>
            <wp:cNvGraphicFramePr/>
            <a:graphic xmlns:a="http://schemas.openxmlformats.org/drawingml/2006/main">
              <a:graphicData uri="http://schemas.openxmlformats.org/drawingml/2006/picture">
                <pic:pic xmlns:pic="http://schemas.openxmlformats.org/drawingml/2006/picture">
                  <pic:nvPicPr>
                    <pic:cNvPr id="64" name="Picture" descr="figs/fig6_conflict_counts.png"/>
                    <pic:cNvPicPr>
                      <a:picLocks noChangeAspect="1" noChangeArrowheads="1"/>
                    </pic:cNvPicPr>
                  </pic:nvPicPr>
                  <pic:blipFill>
                    <a:blip r:embed="rId12"/>
                    <a:stretch>
                      <a:fillRect/>
                    </a:stretch>
                  </pic:blipFill>
                  <pic:spPr bwMode="auto">
                    <a:xfrm>
                      <a:off x="0" y="0"/>
                      <a:ext cx="5334000" cy="2724222"/>
                    </a:xfrm>
                    <a:prstGeom prst="rect">
                      <a:avLst/>
                    </a:prstGeom>
                    <a:noFill/>
                    <a:ln w="9525">
                      <a:noFill/>
                      <a:headEnd/>
                      <a:tailEnd/>
                    </a:ln>
                  </pic:spPr>
                </pic:pic>
              </a:graphicData>
            </a:graphic>
          </wp:inline>
        </w:drawing>
      </w:r>
    </w:p>
    <w:p w14:paraId="49910DAE"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6. Initial conflict counts across the 2×2×2 design. Matched-aware and matched-naive produce identical counts in every cell (specificity check); mismatched-aware dramatically exceeds matched-aware in every cell (sensitivity gain, red arrow shown for Domain17-Tree); mismatched-naive collapses back below matched-aware in every cell (naive suppression, green arrow shown for Domain17-Tree).</w:t>
      </w:r>
    </w:p>
    <w:p w14:paraId="49910DAF" w14:textId="7317BCBF"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sensitivity gain — mismatched-aware detects strictly more initial conflicts than matched-aware — </w:t>
      </w:r>
      <w:r w:rsidR="007D3600" w:rsidRPr="000A0425">
        <w:rPr>
          <w:rFonts w:ascii="Times New Roman" w:hAnsi="Times New Roman" w:cs="Times New Roman"/>
          <w:color w:val="000000" w:themeColor="text1"/>
        </w:rPr>
        <w:t>is replicated across all four (network × axis) conditions,</w:t>
      </w:r>
      <w:r w:rsidRPr="000A0425">
        <w:rPr>
          <w:rFonts w:ascii="Times New Roman" w:hAnsi="Times New Roman" w:cs="Times New Roman"/>
          <w:color w:val="000000" w:themeColor="text1"/>
        </w:rPr>
        <w:t xml:space="preserve"> with 8/8 per-scenario replication in three of them and 6/8 in the fourth. The effect size varies substantially, from +2.6 conflicts (Kanno-Markov) to +30.8 (Domain17-tree). Its magnitude tracks approximately how much the mismatched substrate’s diagnoses </w:t>
      </w:r>
      <w:r w:rsidR="007D3600" w:rsidRPr="000A0425">
        <w:rPr>
          <w:rFonts w:ascii="Times New Roman" w:hAnsi="Times New Roman" w:cs="Times New Roman"/>
          <w:color w:val="000000" w:themeColor="text1"/>
        </w:rPr>
        <w:t>diverge</w:t>
      </w:r>
      <w:r w:rsidRPr="000A0425">
        <w:rPr>
          <w:rFonts w:ascii="Times New Roman" w:hAnsi="Times New Roman" w:cs="Times New Roman"/>
          <w:color w:val="000000" w:themeColor="text1"/>
        </w:rPr>
        <w:t xml:space="preserve"> from BBN’s: tree, which cannot represent joint uncertainty, produces large divergence and large sensitivity gain; Markov on Kanno, whose CPTs concentrate most mutual information in dominant parents so that the Markov approximation is nearly lossless, produces small divergence and small sensitivity gain. The relationship is monotone across the four cells.</w:t>
      </w:r>
    </w:p>
    <w:p w14:paraId="49910DB0" w14:textId="77777777" w:rsidR="003D122F" w:rsidRPr="000A0425" w:rsidRDefault="007C1A26">
      <w:pPr>
        <w:pStyle w:val="Heading2"/>
        <w:rPr>
          <w:rFonts w:ascii="Times New Roman" w:hAnsi="Times New Roman" w:cs="Times New Roman"/>
          <w:color w:val="000000" w:themeColor="text1"/>
          <w:sz w:val="24"/>
          <w:szCs w:val="24"/>
        </w:rPr>
      </w:pPr>
      <w:bookmarkStart w:id="29" w:name="X1ccdbb4974ddd399a814344b4451b1545cd24e7"/>
      <w:bookmarkEnd w:id="28"/>
      <w:r w:rsidRPr="000A0425">
        <w:rPr>
          <w:rFonts w:ascii="Times New Roman" w:hAnsi="Times New Roman" w:cs="Times New Roman"/>
          <w:color w:val="000000" w:themeColor="text1"/>
          <w:sz w:val="24"/>
          <w:szCs w:val="24"/>
        </w:rPr>
        <w:t>5.4 The illusory-agreement mechanism: naive projection suppresses the signal</w:t>
      </w:r>
    </w:p>
    <w:p w14:paraId="49910DB1"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Table 3 reports the mismatched-aware minus mismatched-naive contrast.</w:t>
      </w:r>
    </w:p>
    <w:p w14:paraId="49910DB2"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Table 3. Naive suppression of mismatch-induced conflicts.</w:t>
      </w:r>
    </w:p>
    <w:tbl>
      <w:tblPr>
        <w:tblStyle w:val="Table"/>
        <w:tblW w:w="0" w:type="auto"/>
        <w:tblLook w:val="0020" w:firstRow="1" w:lastRow="0" w:firstColumn="0" w:lastColumn="0" w:noHBand="0" w:noVBand="0"/>
      </w:tblPr>
      <w:tblGrid>
        <w:gridCol w:w="2023"/>
        <w:gridCol w:w="1605"/>
        <w:gridCol w:w="892"/>
        <w:gridCol w:w="1012"/>
        <w:gridCol w:w="1943"/>
      </w:tblGrid>
      <w:tr w:rsidR="003D122F" w:rsidRPr="000A0425" w14:paraId="49910DB8" w14:textId="77777777" w:rsidTr="003D122F">
        <w:trPr>
          <w:cnfStyle w:val="100000000000" w:firstRow="1" w:lastRow="0" w:firstColumn="0" w:lastColumn="0" w:oddVBand="0" w:evenVBand="0" w:oddHBand="0" w:evenHBand="0" w:firstRowFirstColumn="0" w:firstRowLastColumn="0" w:lastRowFirstColumn="0" w:lastRowLastColumn="0"/>
          <w:tblHeader/>
        </w:trPr>
        <w:tc>
          <w:tcPr>
            <w:tcW w:w="0" w:type="auto"/>
          </w:tcPr>
          <w:p w14:paraId="49910DB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Cell</w:t>
            </w:r>
          </w:p>
        </w:tc>
        <w:tc>
          <w:tcPr>
            <w:tcW w:w="0" w:type="auto"/>
          </w:tcPr>
          <w:p w14:paraId="49910DB4"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mm-a − mm-n</w:t>
            </w:r>
          </w:p>
        </w:tc>
        <w:tc>
          <w:tcPr>
            <w:tcW w:w="0" w:type="auto"/>
          </w:tcPr>
          <w:p w14:paraId="49910DB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t(7)</w:t>
            </w:r>
          </w:p>
        </w:tc>
        <w:tc>
          <w:tcPr>
            <w:tcW w:w="0" w:type="auto"/>
          </w:tcPr>
          <w:p w14:paraId="49910DB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p</w:t>
            </w:r>
          </w:p>
        </w:tc>
        <w:tc>
          <w:tcPr>
            <w:tcW w:w="0" w:type="auto"/>
          </w:tcPr>
          <w:p w14:paraId="49910DB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Positive scenarios</w:t>
            </w:r>
          </w:p>
        </w:tc>
      </w:tr>
      <w:tr w:rsidR="003D122F" w:rsidRPr="000A0425" w14:paraId="49910DBE" w14:textId="77777777">
        <w:tc>
          <w:tcPr>
            <w:tcW w:w="0" w:type="auto"/>
          </w:tcPr>
          <w:p w14:paraId="49910DB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 tree</w:t>
            </w:r>
          </w:p>
        </w:tc>
        <w:tc>
          <w:tcPr>
            <w:tcW w:w="0" w:type="auto"/>
          </w:tcPr>
          <w:p w14:paraId="49910DB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+37.50</w:t>
            </w:r>
          </w:p>
        </w:tc>
        <w:tc>
          <w:tcPr>
            <w:tcW w:w="0" w:type="auto"/>
          </w:tcPr>
          <w:p w14:paraId="49910DB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+14.43</w:t>
            </w:r>
          </w:p>
        </w:tc>
        <w:tc>
          <w:tcPr>
            <w:tcW w:w="0" w:type="auto"/>
          </w:tcPr>
          <w:p w14:paraId="49910DB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&lt;0.0001</w:t>
            </w:r>
          </w:p>
        </w:tc>
        <w:tc>
          <w:tcPr>
            <w:tcW w:w="0" w:type="auto"/>
          </w:tcPr>
          <w:p w14:paraId="49910DB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r>
      <w:tr w:rsidR="003D122F" w:rsidRPr="000A0425" w14:paraId="49910DC4" w14:textId="77777777">
        <w:tc>
          <w:tcPr>
            <w:tcW w:w="0" w:type="auto"/>
          </w:tcPr>
          <w:p w14:paraId="49910DB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 markov</w:t>
            </w:r>
          </w:p>
        </w:tc>
        <w:tc>
          <w:tcPr>
            <w:tcW w:w="0" w:type="auto"/>
          </w:tcPr>
          <w:p w14:paraId="49910DC0"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+28.12</w:t>
            </w:r>
          </w:p>
        </w:tc>
        <w:tc>
          <w:tcPr>
            <w:tcW w:w="0" w:type="auto"/>
          </w:tcPr>
          <w:p w14:paraId="49910DC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+10.84</w:t>
            </w:r>
          </w:p>
        </w:tc>
        <w:tc>
          <w:tcPr>
            <w:tcW w:w="0" w:type="auto"/>
          </w:tcPr>
          <w:p w14:paraId="49910DC2"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&lt;0.0001</w:t>
            </w:r>
          </w:p>
        </w:tc>
        <w:tc>
          <w:tcPr>
            <w:tcW w:w="0" w:type="auto"/>
          </w:tcPr>
          <w:p w14:paraId="49910DC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r>
      <w:tr w:rsidR="003D122F" w:rsidRPr="000A0425" w14:paraId="49910DCA" w14:textId="77777777">
        <w:tc>
          <w:tcPr>
            <w:tcW w:w="0" w:type="auto"/>
          </w:tcPr>
          <w:p w14:paraId="49910DC5"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 tree</w:t>
            </w:r>
          </w:p>
        </w:tc>
        <w:tc>
          <w:tcPr>
            <w:tcW w:w="0" w:type="auto"/>
          </w:tcPr>
          <w:p w14:paraId="49910DC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+19.12</w:t>
            </w:r>
          </w:p>
        </w:tc>
        <w:tc>
          <w:tcPr>
            <w:tcW w:w="0" w:type="auto"/>
          </w:tcPr>
          <w:p w14:paraId="49910DC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+5.48</w:t>
            </w:r>
          </w:p>
        </w:tc>
        <w:tc>
          <w:tcPr>
            <w:tcW w:w="0" w:type="auto"/>
          </w:tcPr>
          <w:p w14:paraId="49910DC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0.001</w:t>
            </w:r>
          </w:p>
        </w:tc>
        <w:tc>
          <w:tcPr>
            <w:tcW w:w="0" w:type="auto"/>
          </w:tcPr>
          <w:p w14:paraId="49910DC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8/8</w:t>
            </w:r>
          </w:p>
        </w:tc>
      </w:tr>
      <w:tr w:rsidR="003D122F" w:rsidRPr="000A0425" w14:paraId="49910DD0" w14:textId="77777777">
        <w:tc>
          <w:tcPr>
            <w:tcW w:w="0" w:type="auto"/>
          </w:tcPr>
          <w:p w14:paraId="49910DC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 markov</w:t>
            </w:r>
          </w:p>
        </w:tc>
        <w:tc>
          <w:tcPr>
            <w:tcW w:w="0" w:type="auto"/>
          </w:tcPr>
          <w:p w14:paraId="49910DC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b/>
                <w:bCs/>
                <w:color w:val="000000" w:themeColor="text1"/>
              </w:rPr>
              <w:t>+2.62</w:t>
            </w:r>
          </w:p>
        </w:tc>
        <w:tc>
          <w:tcPr>
            <w:tcW w:w="0" w:type="auto"/>
          </w:tcPr>
          <w:p w14:paraId="49910DC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+3.86</w:t>
            </w:r>
          </w:p>
        </w:tc>
        <w:tc>
          <w:tcPr>
            <w:tcW w:w="0" w:type="auto"/>
          </w:tcPr>
          <w:p w14:paraId="49910DC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0.006</w:t>
            </w:r>
          </w:p>
        </w:tc>
        <w:tc>
          <w:tcPr>
            <w:tcW w:w="0" w:type="auto"/>
          </w:tcPr>
          <w:p w14:paraId="49910DC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6/8</w:t>
            </w:r>
          </w:p>
        </w:tc>
      </w:tr>
    </w:tbl>
    <w:p w14:paraId="49910DD1"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In every cell, naive projection detects substantially fewer initial conflicts than aware projection in the </w:t>
      </w:r>
      <w:r w:rsidRPr="000A0425">
        <w:rPr>
          <w:rFonts w:ascii="Times New Roman" w:hAnsi="Times New Roman" w:cs="Times New Roman"/>
          <w:i/>
          <w:iCs/>
          <w:color w:val="000000" w:themeColor="text1"/>
        </w:rPr>
        <w:t>mismatched</w:t>
      </w:r>
      <w:r w:rsidRPr="000A0425">
        <w:rPr>
          <w:rFonts w:ascii="Times New Roman" w:hAnsi="Times New Roman" w:cs="Times New Roman"/>
          <w:color w:val="000000" w:themeColor="text1"/>
        </w:rPr>
        <w:t xml:space="preserve"> composition. The suppression averages 80% of the conflicts that </w:t>
      </w:r>
      <w:proofErr w:type="gramStart"/>
      <w:r w:rsidRPr="000A0425">
        <w:rPr>
          <w:rFonts w:ascii="Times New Roman" w:hAnsi="Times New Roman" w:cs="Times New Roman"/>
          <w:color w:val="000000" w:themeColor="text1"/>
        </w:rPr>
        <w:t>aware</w:t>
      </w:r>
      <w:proofErr w:type="gramEnd"/>
      <w:r w:rsidRPr="000A0425">
        <w:rPr>
          <w:rFonts w:ascii="Times New Roman" w:hAnsi="Times New Roman" w:cs="Times New Roman"/>
          <w:color w:val="000000" w:themeColor="text1"/>
        </w:rPr>
        <w:t xml:space="preserve"> projection surfaces — that is, four out of five conflicts that aware projection would have flagged </w:t>
      </w:r>
      <w:r w:rsidRPr="000A0425">
        <w:rPr>
          <w:rFonts w:ascii="Times New Roman" w:hAnsi="Times New Roman" w:cs="Times New Roman"/>
          <w:color w:val="000000" w:themeColor="text1"/>
        </w:rPr>
        <w:lastRenderedPageBreak/>
        <w:t>are structurally invisible to naive projection because the naive engine models the mismatched teammate as if it computed the same way as the modeling agent, producing (falsely) agreeing diagnoses. This is the illusory-agreement mechanism at operational precision.</w:t>
      </w:r>
    </w:p>
    <w:p w14:paraId="49910DD2" w14:textId="77777777" w:rsidR="003D122F" w:rsidRPr="000A0425" w:rsidRDefault="007C1A26">
      <w:pPr>
        <w:pStyle w:val="Heading2"/>
        <w:rPr>
          <w:rFonts w:ascii="Times New Roman" w:hAnsi="Times New Roman" w:cs="Times New Roman"/>
          <w:color w:val="000000" w:themeColor="text1"/>
          <w:sz w:val="24"/>
          <w:szCs w:val="24"/>
        </w:rPr>
      </w:pPr>
      <w:bookmarkStart w:id="30" w:name="X9f92f35e9bb0ef578b3e15840a78973d5397266"/>
      <w:bookmarkEnd w:id="29"/>
      <w:r w:rsidRPr="000A0425">
        <w:rPr>
          <w:rFonts w:ascii="Times New Roman" w:hAnsi="Times New Roman" w:cs="Times New Roman"/>
          <w:color w:val="000000" w:themeColor="text1"/>
          <w:sz w:val="24"/>
          <w:szCs w:val="24"/>
        </w:rPr>
        <w:t>5.5 Specificity check: matched teams show no aware/naive difference</w:t>
      </w:r>
    </w:p>
    <w:p w14:paraId="49910DD3"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In every one of the four (network × axis) conditions, and in every one of the eight scenarios per condition, matched-aware and matched-naive teams produce </w:t>
      </w:r>
      <w:r w:rsidRPr="000A0425">
        <w:rPr>
          <w:rFonts w:ascii="Times New Roman" w:hAnsi="Times New Roman" w:cs="Times New Roman"/>
          <w:i/>
          <w:iCs/>
          <w:color w:val="000000" w:themeColor="text1"/>
        </w:rPr>
        <w:t>identical</w:t>
      </w:r>
      <w:r w:rsidRPr="000A0425">
        <w:rPr>
          <w:rFonts w:ascii="Times New Roman" w:hAnsi="Times New Roman" w:cs="Times New Roman"/>
          <w:color w:val="000000" w:themeColor="text1"/>
        </w:rPr>
        <w:t xml:space="preserve"> initial conflict counts (t = 0.00, p = 1.00, all scenarios). This is a structural consequence of the model — when all agents run the same substrate, aware and naive projections instantiate identical engines — and it serves as a design-validity check: the aware/naive difference documented in Section 5.4 is not a generic property of the projection-mode manipulation but is specifically a signature of substrate heterogeneity.</w:t>
      </w:r>
    </w:p>
    <w:p w14:paraId="49910DD4" w14:textId="77777777" w:rsidR="003D122F" w:rsidRPr="000A0425" w:rsidRDefault="007C1A26">
      <w:pPr>
        <w:pStyle w:val="Heading2"/>
        <w:rPr>
          <w:rFonts w:ascii="Times New Roman" w:hAnsi="Times New Roman" w:cs="Times New Roman"/>
          <w:color w:val="000000" w:themeColor="text1"/>
          <w:sz w:val="24"/>
          <w:szCs w:val="24"/>
        </w:rPr>
      </w:pPr>
      <w:bookmarkStart w:id="31" w:name="Xea3a1e7b8ca0fb22ea23fbb831b8f5abdc3a1e4"/>
      <w:bookmarkEnd w:id="30"/>
      <w:r w:rsidRPr="000A0425">
        <w:rPr>
          <w:rFonts w:ascii="Times New Roman" w:hAnsi="Times New Roman" w:cs="Times New Roman"/>
          <w:color w:val="000000" w:themeColor="text1"/>
          <w:sz w:val="24"/>
          <w:szCs w:val="24"/>
        </w:rPr>
        <w:t>5.6 Phantom vs. real: the extra conflicts are only half productive</w:t>
      </w:r>
    </w:p>
    <w:p w14:paraId="49910DD5" w14:textId="4BE68D39"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sensitivity gain of Section 5.3 raises the question: are the extra conflicts detected by mismatched-aware teams </w:t>
      </w:r>
      <w:r w:rsidR="007D3600" w:rsidRPr="000A0425">
        <w:rPr>
          <w:rFonts w:ascii="Times New Roman" w:hAnsi="Times New Roman" w:cs="Times New Roman"/>
          <w:color w:val="000000" w:themeColor="text1"/>
        </w:rPr>
        <w:t>useful</w:t>
      </w:r>
      <w:r w:rsidRPr="000A0425">
        <w:rPr>
          <w:rFonts w:ascii="Times New Roman" w:hAnsi="Times New Roman" w:cs="Times New Roman"/>
          <w:color w:val="000000" w:themeColor="text1"/>
        </w:rPr>
        <w:t xml:space="preserve"> — do they surface nodes where the detecting agent’s own L1 is wrong and needs correction — or are they noise, illusory disagreements with a teammate model on nodes where the actor is already right? Table 4 decomposes the sensitivity gain into extra </w:t>
      </w:r>
      <w:r w:rsidRPr="000A0425">
        <w:rPr>
          <w:rFonts w:ascii="Times New Roman" w:hAnsi="Times New Roman" w:cs="Times New Roman"/>
          <w:i/>
          <w:iCs/>
          <w:color w:val="000000" w:themeColor="text1"/>
        </w:rPr>
        <w:t>real</w:t>
      </w:r>
      <w:r w:rsidRPr="000A0425">
        <w:rPr>
          <w:rFonts w:ascii="Times New Roman" w:hAnsi="Times New Roman" w:cs="Times New Roman"/>
          <w:color w:val="000000" w:themeColor="text1"/>
        </w:rPr>
        <w:t xml:space="preserve"> conflicts (actor’s L1 disagrees with ground truth) and extra </w:t>
      </w:r>
      <w:r w:rsidRPr="000A0425">
        <w:rPr>
          <w:rFonts w:ascii="Times New Roman" w:hAnsi="Times New Roman" w:cs="Times New Roman"/>
          <w:i/>
          <w:iCs/>
          <w:color w:val="000000" w:themeColor="text1"/>
        </w:rPr>
        <w:t>phantom</w:t>
      </w:r>
      <w:r w:rsidRPr="000A0425">
        <w:rPr>
          <w:rFonts w:ascii="Times New Roman" w:hAnsi="Times New Roman" w:cs="Times New Roman"/>
          <w:color w:val="000000" w:themeColor="text1"/>
        </w:rPr>
        <w:t xml:space="preserve"> conflicts (actor’s L1 agrees with ground truth).</w:t>
      </w:r>
    </w:p>
    <w:p w14:paraId="49910DD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b/>
          <w:bCs/>
          <w:color w:val="000000" w:themeColor="text1"/>
        </w:rPr>
        <w:t>Table 4. Phantom/real decomposition of the mismatched-aware − matched-aware extra conflicts.</w:t>
      </w:r>
    </w:p>
    <w:tbl>
      <w:tblPr>
        <w:tblStyle w:val="Table"/>
        <w:tblW w:w="0" w:type="auto"/>
        <w:tblLook w:val="0020" w:firstRow="1" w:lastRow="0" w:firstColumn="0" w:lastColumn="0" w:noHBand="0" w:noVBand="0"/>
      </w:tblPr>
      <w:tblGrid>
        <w:gridCol w:w="2023"/>
        <w:gridCol w:w="1156"/>
        <w:gridCol w:w="1636"/>
        <w:gridCol w:w="1810"/>
      </w:tblGrid>
      <w:tr w:rsidR="003D122F" w:rsidRPr="000A0425" w14:paraId="49910DDB" w14:textId="77777777" w:rsidTr="003D122F">
        <w:trPr>
          <w:cnfStyle w:val="100000000000" w:firstRow="1" w:lastRow="0" w:firstColumn="0" w:lastColumn="0" w:oddVBand="0" w:evenVBand="0" w:oddHBand="0" w:evenHBand="0" w:firstRowFirstColumn="0" w:firstRowLastColumn="0" w:lastRowFirstColumn="0" w:lastRowLastColumn="0"/>
          <w:tblHeader/>
        </w:trPr>
        <w:tc>
          <w:tcPr>
            <w:tcW w:w="0" w:type="auto"/>
          </w:tcPr>
          <w:p w14:paraId="49910DD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Cell</w:t>
            </w:r>
          </w:p>
        </w:tc>
        <w:tc>
          <w:tcPr>
            <w:tcW w:w="0" w:type="auto"/>
          </w:tcPr>
          <w:p w14:paraId="49910DD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Extra real</w:t>
            </w:r>
          </w:p>
        </w:tc>
        <w:tc>
          <w:tcPr>
            <w:tcW w:w="0" w:type="auto"/>
          </w:tcPr>
          <w:p w14:paraId="49910DD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Extra phantom</w:t>
            </w:r>
          </w:p>
        </w:tc>
        <w:tc>
          <w:tcPr>
            <w:tcW w:w="0" w:type="auto"/>
          </w:tcPr>
          <w:p w14:paraId="49910DDA"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Phantom %</w:t>
            </w:r>
          </w:p>
        </w:tc>
      </w:tr>
      <w:tr w:rsidR="003D122F" w:rsidRPr="000A0425" w14:paraId="49910DE0" w14:textId="77777777">
        <w:tc>
          <w:tcPr>
            <w:tcW w:w="0" w:type="auto"/>
          </w:tcPr>
          <w:p w14:paraId="49910DD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 tree</w:t>
            </w:r>
          </w:p>
        </w:tc>
        <w:tc>
          <w:tcPr>
            <w:tcW w:w="0" w:type="auto"/>
          </w:tcPr>
          <w:p w14:paraId="49910DD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+17.25</w:t>
            </w:r>
          </w:p>
        </w:tc>
        <w:tc>
          <w:tcPr>
            <w:tcW w:w="0" w:type="auto"/>
          </w:tcPr>
          <w:p w14:paraId="49910DD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+13.50</w:t>
            </w:r>
          </w:p>
        </w:tc>
        <w:tc>
          <w:tcPr>
            <w:tcW w:w="0" w:type="auto"/>
          </w:tcPr>
          <w:p w14:paraId="49910DDF"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43.9%</w:t>
            </w:r>
          </w:p>
        </w:tc>
      </w:tr>
      <w:tr w:rsidR="003D122F" w:rsidRPr="000A0425" w14:paraId="49910DE5" w14:textId="77777777">
        <w:tc>
          <w:tcPr>
            <w:tcW w:w="0" w:type="auto"/>
          </w:tcPr>
          <w:p w14:paraId="49910DE1"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Domain17 markov</w:t>
            </w:r>
          </w:p>
        </w:tc>
        <w:tc>
          <w:tcPr>
            <w:tcW w:w="0" w:type="auto"/>
          </w:tcPr>
          <w:p w14:paraId="49910DE2"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+10.50</w:t>
            </w:r>
          </w:p>
        </w:tc>
        <w:tc>
          <w:tcPr>
            <w:tcW w:w="0" w:type="auto"/>
          </w:tcPr>
          <w:p w14:paraId="49910DE3"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+10.88</w:t>
            </w:r>
          </w:p>
        </w:tc>
        <w:tc>
          <w:tcPr>
            <w:tcW w:w="0" w:type="auto"/>
          </w:tcPr>
          <w:p w14:paraId="49910DE4"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50.9%</w:t>
            </w:r>
          </w:p>
        </w:tc>
      </w:tr>
      <w:tr w:rsidR="003D122F" w:rsidRPr="000A0425" w14:paraId="49910DEA" w14:textId="77777777">
        <w:tc>
          <w:tcPr>
            <w:tcW w:w="0" w:type="auto"/>
          </w:tcPr>
          <w:p w14:paraId="49910DE6"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 tree</w:t>
            </w:r>
          </w:p>
        </w:tc>
        <w:tc>
          <w:tcPr>
            <w:tcW w:w="0" w:type="auto"/>
          </w:tcPr>
          <w:p w14:paraId="49910DE7"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+8.25</w:t>
            </w:r>
          </w:p>
        </w:tc>
        <w:tc>
          <w:tcPr>
            <w:tcW w:w="0" w:type="auto"/>
          </w:tcPr>
          <w:p w14:paraId="49910DE8"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+1.88</w:t>
            </w:r>
          </w:p>
        </w:tc>
        <w:tc>
          <w:tcPr>
            <w:tcW w:w="0" w:type="auto"/>
          </w:tcPr>
          <w:p w14:paraId="49910DE9"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18.5%</w:t>
            </w:r>
          </w:p>
        </w:tc>
      </w:tr>
      <w:tr w:rsidR="003D122F" w:rsidRPr="000A0425" w14:paraId="49910DEF" w14:textId="77777777">
        <w:tc>
          <w:tcPr>
            <w:tcW w:w="0" w:type="auto"/>
          </w:tcPr>
          <w:p w14:paraId="49910DEB"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Kanno markov</w:t>
            </w:r>
          </w:p>
        </w:tc>
        <w:tc>
          <w:tcPr>
            <w:tcW w:w="0" w:type="auto"/>
          </w:tcPr>
          <w:p w14:paraId="49910DEC"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+0.75</w:t>
            </w:r>
          </w:p>
        </w:tc>
        <w:tc>
          <w:tcPr>
            <w:tcW w:w="0" w:type="auto"/>
          </w:tcPr>
          <w:p w14:paraId="49910DED"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+1.88</w:t>
            </w:r>
          </w:p>
        </w:tc>
        <w:tc>
          <w:tcPr>
            <w:tcW w:w="0" w:type="auto"/>
          </w:tcPr>
          <w:p w14:paraId="49910DEE" w14:textId="77777777" w:rsidR="003D122F" w:rsidRPr="000A0425" w:rsidRDefault="007C1A26">
            <w:pPr>
              <w:pStyle w:val="Compact"/>
              <w:rPr>
                <w:rFonts w:ascii="Times New Roman" w:hAnsi="Times New Roman" w:cs="Times New Roman"/>
                <w:color w:val="000000" w:themeColor="text1"/>
              </w:rPr>
            </w:pPr>
            <w:r w:rsidRPr="000A0425">
              <w:rPr>
                <w:rFonts w:ascii="Times New Roman" w:hAnsi="Times New Roman" w:cs="Times New Roman"/>
                <w:color w:val="000000" w:themeColor="text1"/>
              </w:rPr>
              <w:t>71.4% (small N)</w:t>
            </w:r>
          </w:p>
        </w:tc>
      </w:tr>
    </w:tbl>
    <w:p w14:paraId="49910DF0"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lastRenderedPageBreak/>
        <w:drawing>
          <wp:inline distT="0" distB="0" distL="0" distR="0" wp14:anchorId="49910E48" wp14:editId="49910E49">
            <wp:extent cx="5067300" cy="2735177"/>
            <wp:effectExtent l="0" t="0" r="0" b="0"/>
            <wp:docPr id="69" name="Picture" descr="Figure 7.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wp:cNvGraphicFramePr/>
            <a:graphic xmlns:a="http://schemas.openxmlformats.org/drawingml/2006/main">
              <a:graphicData uri="http://schemas.openxmlformats.org/drawingml/2006/picture">
                <pic:pic xmlns:pic="http://schemas.openxmlformats.org/drawingml/2006/picture">
                  <pic:nvPicPr>
                    <pic:cNvPr id="70" name="Picture" descr="figs/fig7_phantom_real.png"/>
                    <pic:cNvPicPr>
                      <a:picLocks noChangeAspect="1" noChangeArrowheads="1"/>
                    </pic:cNvPicPr>
                  </pic:nvPicPr>
                  <pic:blipFill>
                    <a:blip r:embed="rId13"/>
                    <a:stretch>
                      <a:fillRect/>
                    </a:stretch>
                  </pic:blipFill>
                  <pic:spPr bwMode="auto">
                    <a:xfrm>
                      <a:off x="0" y="0"/>
                      <a:ext cx="5067300" cy="2735177"/>
                    </a:xfrm>
                    <a:prstGeom prst="rect">
                      <a:avLst/>
                    </a:prstGeom>
                    <a:noFill/>
                    <a:ln w="9525">
                      <a:noFill/>
                      <a:headEnd/>
                      <a:tailEnd/>
                    </a:ln>
                  </pic:spPr>
                </pic:pic>
              </a:graphicData>
            </a:graphic>
          </wp:inline>
        </w:drawing>
      </w:r>
    </w:p>
    <w:p w14:paraId="49910DF1"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7.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w:t>
      </w:r>
    </w:p>
    <w:p w14:paraId="49910DF2" w14:textId="4E251896"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Two observations. First, the </w:t>
      </w:r>
      <w:r w:rsidRPr="000A0425">
        <w:rPr>
          <w:rFonts w:ascii="Times New Roman" w:hAnsi="Times New Roman" w:cs="Times New Roman"/>
          <w:i/>
          <w:iCs/>
          <w:color w:val="000000" w:themeColor="text1"/>
        </w:rPr>
        <w:t>real</w:t>
      </w:r>
      <w:r w:rsidRPr="000A0425">
        <w:rPr>
          <w:rFonts w:ascii="Times New Roman" w:hAnsi="Times New Roman" w:cs="Times New Roman"/>
          <w:color w:val="000000" w:themeColor="text1"/>
        </w:rPr>
        <w:t xml:space="preserve"> component of the sensitivity gain is significant and non-zero in three of four cells (Kanno-Markov aside, whose totals are close to noise), so the mechanism is not purely illusory disagreement — mismatched-aware teams really do detect nodes where they are genuinely wrong and could benefit from help. Second, the phantom component is also large in most cells. Roughly half of the extra sensitivity is </w:t>
      </w:r>
      <w:r w:rsidR="006869F4" w:rsidRPr="000A0425">
        <w:rPr>
          <w:rFonts w:ascii="Times New Roman" w:hAnsi="Times New Roman" w:cs="Times New Roman"/>
          <w:color w:val="000000" w:themeColor="text1"/>
        </w:rPr>
        <w:t>unproductive: it consists of conflicts over</w:t>
      </w:r>
      <w:r w:rsidRPr="000A0425">
        <w:rPr>
          <w:rFonts w:ascii="Times New Roman" w:hAnsi="Times New Roman" w:cs="Times New Roman"/>
          <w:color w:val="000000" w:themeColor="text1"/>
        </w:rPr>
        <w:t xml:space="preserve"> nodes where the detecting agent is already correct, so acting on them would waste actions and could even propagate errors.</w:t>
      </w:r>
    </w:p>
    <w:p w14:paraId="49910DF3"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The phantom fraction is not uniform across cells. Kanno-tree has the lowest phantom fraction (</w:t>
      </w:r>
      <w:proofErr w:type="gramStart"/>
      <w:r w:rsidRPr="000A0425">
        <w:rPr>
          <w:rFonts w:ascii="Times New Roman" w:hAnsi="Times New Roman" w:cs="Times New Roman"/>
          <w:color w:val="000000" w:themeColor="text1"/>
        </w:rPr>
        <w:t>18.5% —</w:t>
      </w:r>
      <w:proofErr w:type="gramEnd"/>
      <w:r w:rsidRPr="000A0425">
        <w:rPr>
          <w:rFonts w:ascii="Times New Roman" w:hAnsi="Times New Roman" w:cs="Times New Roman"/>
          <w:color w:val="000000" w:themeColor="text1"/>
        </w:rPr>
        <w:t xml:space="preserve"> the extra sensitivity is 81% productive) yet still shows a large positive substrate gap (matched wins by +0.053). Domain17-Markov has a middling phantom fraction (51%) and shows a mildly negative substrate gap (mismatch wins by 0.019). This is important: </w:t>
      </w:r>
      <w:proofErr w:type="gramStart"/>
      <w:r w:rsidRPr="000A0425">
        <w:rPr>
          <w:rFonts w:ascii="Times New Roman" w:hAnsi="Times New Roman" w:cs="Times New Roman"/>
          <w:color w:val="000000" w:themeColor="text1"/>
        </w:rPr>
        <w:t>phantom</w:t>
      </w:r>
      <w:proofErr w:type="gramEnd"/>
      <w:r w:rsidRPr="000A0425">
        <w:rPr>
          <w:rFonts w:ascii="Times New Roman" w:hAnsi="Times New Roman" w:cs="Times New Roman"/>
          <w:color w:val="000000" w:themeColor="text1"/>
        </w:rPr>
        <w:t xml:space="preserve"> fraction alone does not predict substrate-gap sign. The sign depends on the second force, which we take up next.</w:t>
      </w:r>
    </w:p>
    <w:p w14:paraId="49910DF4" w14:textId="77777777" w:rsidR="003D122F" w:rsidRPr="000A0425" w:rsidRDefault="007C1A26">
      <w:pPr>
        <w:pStyle w:val="Heading2"/>
        <w:rPr>
          <w:rFonts w:ascii="Times New Roman" w:hAnsi="Times New Roman" w:cs="Times New Roman"/>
          <w:color w:val="000000" w:themeColor="text1"/>
          <w:sz w:val="24"/>
          <w:szCs w:val="24"/>
        </w:rPr>
      </w:pPr>
      <w:bookmarkStart w:id="32" w:name="the-two-force-account"/>
      <w:bookmarkEnd w:id="31"/>
      <w:r w:rsidRPr="000A0425">
        <w:rPr>
          <w:rFonts w:ascii="Times New Roman" w:hAnsi="Times New Roman" w:cs="Times New Roman"/>
          <w:color w:val="000000" w:themeColor="text1"/>
          <w:sz w:val="24"/>
          <w:szCs w:val="24"/>
        </w:rPr>
        <w:t>5.7 The two-force account</w:t>
      </w:r>
    </w:p>
    <w:p w14:paraId="49910DF5" w14:textId="2135C604"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Sections 5.3–5.6 identify a first mechanism: substrate mismatch under aware projection produces a </w:t>
      </w:r>
      <w:r w:rsidRPr="000A0425">
        <w:rPr>
          <w:rFonts w:ascii="Times New Roman" w:hAnsi="Times New Roman" w:cs="Times New Roman"/>
          <w:i/>
          <w:iCs/>
          <w:color w:val="000000" w:themeColor="text1"/>
        </w:rPr>
        <w:t>sensitivity gain</w:t>
      </w:r>
      <w:r w:rsidRPr="000A0425">
        <w:rPr>
          <w:rFonts w:ascii="Times New Roman" w:hAnsi="Times New Roman" w:cs="Times New Roman"/>
          <w:color w:val="000000" w:themeColor="text1"/>
        </w:rPr>
        <w:t xml:space="preserve">, most of which is real but a substantial fraction of which is phantom. But the outcome data of Section 5.1 </w:t>
      </w:r>
      <w:r w:rsidR="007D3600" w:rsidRPr="000A0425">
        <w:rPr>
          <w:rFonts w:ascii="Times New Roman" w:hAnsi="Times New Roman" w:cs="Times New Roman"/>
          <w:color w:val="000000" w:themeColor="text1"/>
        </w:rPr>
        <w:t>show</w:t>
      </w:r>
      <w:r w:rsidRPr="000A0425">
        <w:rPr>
          <w:rFonts w:ascii="Times New Roman" w:hAnsi="Times New Roman" w:cs="Times New Roman"/>
          <w:color w:val="000000" w:themeColor="text1"/>
        </w:rPr>
        <w:t xml:space="preserve"> that this sensitivity gain does not translate into a corresponding accuracy gain. On Kanno-tree, mm-aware surfaces +8.25 extra real conflicts per scenario — nodes where at least one agent is genuinely wrong and needs coordination help — yet mm-aware loses to m-aware by 0.053 in team accuracy. The sensitivity is productive, but the team is nonetheless worse.</w:t>
      </w:r>
    </w:p>
    <w:p w14:paraId="49910DF6" w14:textId="762BFC62"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 xml:space="preserve">The missing piece is a second force: </w:t>
      </w:r>
      <w:r w:rsidR="007D3600" w:rsidRPr="000A0425">
        <w:rPr>
          <w:rFonts w:ascii="Times New Roman" w:hAnsi="Times New Roman" w:cs="Times New Roman"/>
          <w:color w:val="000000" w:themeColor="text1"/>
        </w:rPr>
        <w:t>the quality of single-agent inference</w:t>
      </w:r>
      <w:r w:rsidRPr="000A0425">
        <w:rPr>
          <w:rFonts w:ascii="Times New Roman" w:hAnsi="Times New Roman" w:cs="Times New Roman"/>
          <w:color w:val="000000" w:themeColor="text1"/>
        </w:rPr>
        <w:t xml:space="preserve">. Placing a tree engine in an </w:t>
      </w:r>
      <w:r w:rsidR="007D3600" w:rsidRPr="000A0425">
        <w:rPr>
          <w:rFonts w:ascii="Times New Roman" w:hAnsi="Times New Roman" w:cs="Times New Roman"/>
          <w:color w:val="000000" w:themeColor="text1"/>
        </w:rPr>
        <w:t xml:space="preserve">otherwise BBN team downgrades the tree agent’s own L1 diagnoses, regardless of how well the projection layer models </w:t>
      </w:r>
      <w:r w:rsidRPr="000A0425">
        <w:rPr>
          <w:rFonts w:ascii="Times New Roman" w:hAnsi="Times New Roman" w:cs="Times New Roman"/>
          <w:color w:val="000000" w:themeColor="text1"/>
        </w:rPr>
        <w:t>heterogeneity. The tree agent contributes a weaker inference to the team’s post-cooperation belief state. The substrate gap is the balance of this quality loss against the (real component of the) sensitivity gain:</w:t>
      </w:r>
    </w:p>
    <w:p w14:paraId="49910DF7" w14:textId="77777777" w:rsidR="003D122F" w:rsidRPr="000A0425" w:rsidRDefault="007C1A26">
      <w:pPr>
        <w:pStyle w:val="BlockText"/>
        <w:rPr>
          <w:rFonts w:ascii="Times New Roman" w:hAnsi="Times New Roman" w:cs="Times New Roman"/>
          <w:color w:val="000000" w:themeColor="text1"/>
        </w:rPr>
      </w:pPr>
      <w:r w:rsidRPr="000A0425">
        <w:rPr>
          <w:rFonts w:ascii="Times New Roman" w:hAnsi="Times New Roman" w:cs="Times New Roman"/>
          <w:b/>
          <w:bCs/>
          <w:color w:val="000000" w:themeColor="text1"/>
        </w:rPr>
        <w:t>substrate gap ≈ (inference quality loss) − (real sensitivity gain) × (action efficacy)</w:t>
      </w:r>
    </w:p>
    <w:p w14:paraId="49910DF8"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Where action efficacy captures how often a detected real conflict translates into a beneficial action outcome given the noisy translation and idle-terminator dynamics of the coop phase.</w:t>
      </w:r>
    </w:p>
    <w:p w14:paraId="49910DF9"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four cells fit this account cleanly. On Kanno-Markov, both terms are small (Markov ≈ BBN in inferential power on Kanno’s CPTs), so the substrate gap is near zero (−0.002). On Domain17-Markov, quality loss is small but real-sensitivity gain is +10.5 — so mismatch wins (−0.019). On Kanno-tree, quality loss is large (tree &lt;&lt; BBN in inferential power) and real-sensitivity gain is +8.25 — so mismatch loses (+0.053). On Domain17-tree, both terms are large, but quality loss </w:t>
      </w:r>
      <w:proofErr w:type="gramStart"/>
      <w:r w:rsidRPr="000A0425">
        <w:rPr>
          <w:rFonts w:ascii="Times New Roman" w:hAnsi="Times New Roman" w:cs="Times New Roman"/>
          <w:color w:val="000000" w:themeColor="text1"/>
        </w:rPr>
        <w:t>dominates:</w:t>
      </w:r>
      <w:proofErr w:type="gramEnd"/>
      <w:r w:rsidRPr="000A0425">
        <w:rPr>
          <w:rFonts w:ascii="Times New Roman" w:hAnsi="Times New Roman" w:cs="Times New Roman"/>
          <w:color w:val="000000" w:themeColor="text1"/>
        </w:rPr>
        <w:t xml:space="preserve"> mismatch loses (+0.077).</w:t>
      </w:r>
    </w:p>
    <w:p w14:paraId="49910DFA" w14:textId="77777777" w:rsidR="003D122F" w:rsidRPr="000A0425" w:rsidRDefault="007C1A26">
      <w:pPr>
        <w:pStyle w:val="CaptionedFigure"/>
        <w:rPr>
          <w:rFonts w:ascii="Times New Roman" w:hAnsi="Times New Roman" w:cs="Times New Roman"/>
          <w:color w:val="000000" w:themeColor="text1"/>
        </w:rPr>
      </w:pPr>
      <w:r w:rsidRPr="000A0425">
        <w:rPr>
          <w:rFonts w:ascii="Times New Roman" w:hAnsi="Times New Roman" w:cs="Times New Roman"/>
          <w:noProof/>
          <w:color w:val="000000" w:themeColor="text1"/>
        </w:rPr>
        <w:drawing>
          <wp:inline distT="0" distB="0" distL="0" distR="0" wp14:anchorId="49910E4A" wp14:editId="49910E4B">
            <wp:extent cx="5067300" cy="3525078"/>
            <wp:effectExtent l="0" t="0" r="0" b="0"/>
            <wp:docPr id="73" name="Picture" descr="Figure 8. The two-force account visualized. The x-axis is the real sensitivity gain (extra conflicts in mm-aware where the actor’s own L1 is wrong); the y-axis is the substrate gap. Color indicates the mismatched-axis substrate; marker shape indicates the network. The four cells occupy differen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wp:cNvGraphicFramePr/>
            <a:graphic xmlns:a="http://schemas.openxmlformats.org/drawingml/2006/main">
              <a:graphicData uri="http://schemas.openxmlformats.org/drawingml/2006/picture">
                <pic:pic xmlns:pic="http://schemas.openxmlformats.org/drawingml/2006/picture">
                  <pic:nvPicPr>
                    <pic:cNvPr id="74" name="Picture" descr="figs/fig8_two_force.png"/>
                    <pic:cNvPicPr>
                      <a:picLocks noChangeAspect="1" noChangeArrowheads="1"/>
                    </pic:cNvPicPr>
                  </pic:nvPicPr>
                  <pic:blipFill>
                    <a:blip r:embed="rId14"/>
                    <a:stretch>
                      <a:fillRect/>
                    </a:stretch>
                  </pic:blipFill>
                  <pic:spPr bwMode="auto">
                    <a:xfrm>
                      <a:off x="0" y="0"/>
                      <a:ext cx="5067300" cy="3525078"/>
                    </a:xfrm>
                    <a:prstGeom prst="rect">
                      <a:avLst/>
                    </a:prstGeom>
                    <a:noFill/>
                    <a:ln w="9525">
                      <a:noFill/>
                      <a:headEnd/>
                      <a:tailEnd/>
                    </a:ln>
                  </pic:spPr>
                </pic:pic>
              </a:graphicData>
            </a:graphic>
          </wp:inline>
        </w:drawing>
      </w:r>
    </w:p>
    <w:p w14:paraId="49910DFB" w14:textId="77777777" w:rsidR="003D122F" w:rsidRPr="000A0425" w:rsidRDefault="007C1A26">
      <w:pPr>
        <w:pStyle w:val="ImageCaption"/>
        <w:rPr>
          <w:rFonts w:ascii="Times New Roman" w:hAnsi="Times New Roman" w:cs="Times New Roman"/>
          <w:color w:val="000000" w:themeColor="text1"/>
        </w:rPr>
      </w:pPr>
      <w:r w:rsidRPr="000A0425">
        <w:rPr>
          <w:rFonts w:ascii="Times New Roman" w:hAnsi="Times New Roman" w:cs="Times New Roman"/>
          <w:color w:val="000000" w:themeColor="text1"/>
        </w:rPr>
        <w:t>Figure 8. The two-force account visualized. The x-axis is the real sensitivity gain (extra conflicts in mm-aware where the actor’s own L1 is wrong); the y-axis is the substrate gap. Color indicates the mismatched-axis substrate; marker shape indicates the network. The four cells occupy different regions of the two-force space: near-origin (Kanno-Markov, both forces small); high-sensitivity/negative-gap (Domain17-Markov, sensitivity wins); moderate-sensitivity/positive-gap (Kanno-Tree, quality loss wins); hi</w:t>
      </w:r>
      <w:r w:rsidRPr="000A0425">
        <w:rPr>
          <w:rFonts w:ascii="Times New Roman" w:hAnsi="Times New Roman" w:cs="Times New Roman"/>
          <w:color w:val="000000" w:themeColor="text1"/>
        </w:rPr>
        <w:t>gh-sensitivity/large-positive-gap (Domain17-Tree, quality loss still wins despite large sensitivity).</w:t>
      </w:r>
    </w:p>
    <w:p w14:paraId="49910DFC" w14:textId="19DA9115"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 xml:space="preserve">This decomposition also explains why </w:t>
      </w:r>
      <w:r w:rsidR="007D3600" w:rsidRPr="000A0425">
        <w:rPr>
          <w:rFonts w:ascii="Times New Roman" w:hAnsi="Times New Roman" w:cs="Times New Roman"/>
          <w:color w:val="000000" w:themeColor="text1"/>
        </w:rPr>
        <w:t xml:space="preserve">the phantom fraction does not predict the outcome sign: phantom conflicts do not directly contribute to accuracy (they lead to wasteful actions but not necessarily to incorrect final diagnoses), so the sensitivity term in the outcome equation is best approximated by the real sensitivity gain, not the </w:t>
      </w:r>
      <w:r w:rsidRPr="000A0425">
        <w:rPr>
          <w:rFonts w:ascii="Times New Roman" w:hAnsi="Times New Roman" w:cs="Times New Roman"/>
          <w:color w:val="000000" w:themeColor="text1"/>
        </w:rPr>
        <w:t>total sensitivity gain. Phantom conflicts are a “cost of sensitivity” that reduces action-efficacy but does not change the sign of the substrate gap.</w:t>
      </w:r>
    </w:p>
    <w:p w14:paraId="49910DFD" w14:textId="77777777" w:rsidR="003D122F" w:rsidRPr="000A0425" w:rsidRDefault="007C1A26">
      <w:pPr>
        <w:pStyle w:val="Heading1"/>
        <w:rPr>
          <w:rFonts w:ascii="Times New Roman" w:hAnsi="Times New Roman" w:cs="Times New Roman"/>
          <w:color w:val="000000" w:themeColor="text1"/>
          <w:sz w:val="24"/>
          <w:szCs w:val="24"/>
        </w:rPr>
      </w:pPr>
      <w:bookmarkStart w:id="33" w:name="discussion"/>
      <w:bookmarkEnd w:id="25"/>
      <w:bookmarkEnd w:id="32"/>
      <w:r w:rsidRPr="000A0425">
        <w:rPr>
          <w:rFonts w:ascii="Times New Roman" w:hAnsi="Times New Roman" w:cs="Times New Roman"/>
          <w:color w:val="000000" w:themeColor="text1"/>
          <w:sz w:val="24"/>
          <w:szCs w:val="24"/>
        </w:rPr>
        <w:t>6. Discussion</w:t>
      </w:r>
    </w:p>
    <w:p w14:paraId="49910DFE" w14:textId="77777777" w:rsidR="003D122F" w:rsidRPr="000A0425" w:rsidRDefault="007C1A26">
      <w:pPr>
        <w:pStyle w:val="Heading2"/>
        <w:rPr>
          <w:rFonts w:ascii="Times New Roman" w:hAnsi="Times New Roman" w:cs="Times New Roman"/>
          <w:color w:val="000000" w:themeColor="text1"/>
          <w:sz w:val="24"/>
          <w:szCs w:val="24"/>
        </w:rPr>
      </w:pPr>
      <w:bookmarkStart w:id="34" w:name="Xf682a0d11a80dd20de6d2b84f794cd5217628dc"/>
      <w:r w:rsidRPr="000A0425">
        <w:rPr>
          <w:rFonts w:ascii="Times New Roman" w:hAnsi="Times New Roman" w:cs="Times New Roman"/>
          <w:color w:val="000000" w:themeColor="text1"/>
          <w:sz w:val="24"/>
          <w:szCs w:val="24"/>
        </w:rPr>
        <w:t>6.1 The two forces are both real and both necessary</w:t>
      </w:r>
    </w:p>
    <w:p w14:paraId="49910DFF"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2×2×2 design lets us make a claim we could not make from any single (network, axis) cell. Substrate mismatch is not one thing. It is at minimum two things: a </w:t>
      </w:r>
      <w:r w:rsidRPr="000A0425">
        <w:rPr>
          <w:rFonts w:ascii="Times New Roman" w:hAnsi="Times New Roman" w:cs="Times New Roman"/>
          <w:i/>
          <w:iCs/>
          <w:color w:val="000000" w:themeColor="text1"/>
        </w:rPr>
        <w:t>sensitivity gain</w:t>
      </w:r>
      <w:r w:rsidRPr="000A0425">
        <w:rPr>
          <w:rFonts w:ascii="Times New Roman" w:hAnsi="Times New Roman" w:cs="Times New Roman"/>
          <w:color w:val="000000" w:themeColor="text1"/>
        </w:rPr>
        <w:t xml:space="preserve"> that surfaces additional conflicts and is </w:t>
      </w:r>
      <w:proofErr w:type="gramStart"/>
      <w:r w:rsidRPr="000A0425">
        <w:rPr>
          <w:rFonts w:ascii="Times New Roman" w:hAnsi="Times New Roman" w:cs="Times New Roman"/>
          <w:color w:val="000000" w:themeColor="text1"/>
        </w:rPr>
        <w:t>bounded</w:t>
      </w:r>
      <w:proofErr w:type="gramEnd"/>
      <w:r w:rsidRPr="000A0425">
        <w:rPr>
          <w:rFonts w:ascii="Times New Roman" w:hAnsi="Times New Roman" w:cs="Times New Roman"/>
          <w:color w:val="000000" w:themeColor="text1"/>
        </w:rPr>
        <w:t xml:space="preserve"> by how much the mismatched substrate’s committed diagnoses diverge from </w:t>
      </w:r>
      <w:proofErr w:type="gramStart"/>
      <w:r w:rsidRPr="000A0425">
        <w:rPr>
          <w:rFonts w:ascii="Times New Roman" w:hAnsi="Times New Roman" w:cs="Times New Roman"/>
          <w:color w:val="000000" w:themeColor="text1"/>
        </w:rPr>
        <w:t>BBN’s</w:t>
      </w:r>
      <w:proofErr w:type="gramEnd"/>
      <w:r w:rsidRPr="000A0425">
        <w:rPr>
          <w:rFonts w:ascii="Times New Roman" w:hAnsi="Times New Roman" w:cs="Times New Roman"/>
          <w:color w:val="000000" w:themeColor="text1"/>
        </w:rPr>
        <w:t xml:space="preserve">, and an </w:t>
      </w:r>
      <w:r w:rsidRPr="000A0425">
        <w:rPr>
          <w:rFonts w:ascii="Times New Roman" w:hAnsi="Times New Roman" w:cs="Times New Roman"/>
          <w:i/>
          <w:iCs/>
          <w:color w:val="000000" w:themeColor="text1"/>
        </w:rPr>
        <w:t>inference quality loss</w:t>
      </w:r>
      <w:r w:rsidRPr="000A0425">
        <w:rPr>
          <w:rFonts w:ascii="Times New Roman" w:hAnsi="Times New Roman" w:cs="Times New Roman"/>
          <w:color w:val="000000" w:themeColor="text1"/>
        </w:rPr>
        <w:t xml:space="preserve"> that is </w:t>
      </w:r>
      <w:proofErr w:type="gramStart"/>
      <w:r w:rsidRPr="000A0425">
        <w:rPr>
          <w:rFonts w:ascii="Times New Roman" w:hAnsi="Times New Roman" w:cs="Times New Roman"/>
          <w:color w:val="000000" w:themeColor="text1"/>
        </w:rPr>
        <w:t>bounded</w:t>
      </w:r>
      <w:proofErr w:type="gramEnd"/>
      <w:r w:rsidRPr="000A0425">
        <w:rPr>
          <w:rFonts w:ascii="Times New Roman" w:hAnsi="Times New Roman" w:cs="Times New Roman"/>
          <w:color w:val="000000" w:themeColor="text1"/>
        </w:rPr>
        <w:t xml:space="preserve"> by how much worse the mismatched substrate is at getting individual nodes right. Both forces are measurable at the level of individual scenarios in ways that generalize across networks. The signed effect of mismatch on team accuracy is the balance.</w:t>
      </w:r>
    </w:p>
    <w:p w14:paraId="49910E00"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This reframes the Anthropomorphization Trap. The original trap thesis — matched &gt; mismatched-aware &gt; mismatched-naive — turns out to hold, on aggregate, only when the mismatched substrate is inferentially weaker than BBN. When the mismatched substrate is inferentially close to BBN (Markov on either network), aggregate mismatch is either neutral or mildly beneficial, and the aware/naive ordering becomes empirically noisy. The trap is not a single-mechanism claim; it is a compound one, and its aggregate direc</w:t>
      </w:r>
      <w:r w:rsidRPr="000A0425">
        <w:rPr>
          <w:rFonts w:ascii="Times New Roman" w:hAnsi="Times New Roman" w:cs="Times New Roman"/>
          <w:color w:val="000000" w:themeColor="text1"/>
        </w:rPr>
        <w:t xml:space="preserve">tion depends on which of the two forces dominates </w:t>
      </w:r>
      <w:proofErr w:type="gramStart"/>
      <w:r w:rsidRPr="000A0425">
        <w:rPr>
          <w:rFonts w:ascii="Times New Roman" w:hAnsi="Times New Roman" w:cs="Times New Roman"/>
          <w:color w:val="000000" w:themeColor="text1"/>
        </w:rPr>
        <w:t>in a given</w:t>
      </w:r>
      <w:proofErr w:type="gramEnd"/>
      <w:r w:rsidRPr="000A0425">
        <w:rPr>
          <w:rFonts w:ascii="Times New Roman" w:hAnsi="Times New Roman" w:cs="Times New Roman"/>
          <w:color w:val="000000" w:themeColor="text1"/>
        </w:rPr>
        <w:t xml:space="preserve"> (network, axis) regime.</w:t>
      </w:r>
    </w:p>
    <w:p w14:paraId="49910E01" w14:textId="01C1341A" w:rsidR="003D122F" w:rsidRPr="000A0425" w:rsidRDefault="007C1A26">
      <w:pPr>
        <w:pStyle w:val="Heading2"/>
        <w:rPr>
          <w:rFonts w:ascii="Times New Roman" w:hAnsi="Times New Roman" w:cs="Times New Roman"/>
          <w:color w:val="000000" w:themeColor="text1"/>
          <w:sz w:val="24"/>
          <w:szCs w:val="24"/>
        </w:rPr>
      </w:pPr>
      <w:bookmarkStart w:id="35" w:name="what-naive-projection-actually-does"/>
      <w:bookmarkEnd w:id="34"/>
      <w:r w:rsidRPr="000A0425">
        <w:rPr>
          <w:rFonts w:ascii="Times New Roman" w:hAnsi="Times New Roman" w:cs="Times New Roman"/>
          <w:color w:val="000000" w:themeColor="text1"/>
          <w:sz w:val="24"/>
          <w:szCs w:val="24"/>
        </w:rPr>
        <w:t xml:space="preserve">6.2 What naive projection </w:t>
      </w:r>
      <w:r w:rsidR="008852E2" w:rsidRPr="000A0425">
        <w:rPr>
          <w:rFonts w:ascii="Times New Roman" w:hAnsi="Times New Roman" w:cs="Times New Roman"/>
          <w:color w:val="000000" w:themeColor="text1"/>
          <w:sz w:val="24"/>
          <w:szCs w:val="24"/>
        </w:rPr>
        <w:t>does</w:t>
      </w:r>
    </w:p>
    <w:p w14:paraId="49910E02"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Sections 5.4 and 5.5 give an operationally precise account of naive projection. Under matched compositions, naive projection is a null operation — indistinguishable from aware projection because everyone runs the same substrate. Under mismatched compositions, naive projection is a </w:t>
      </w:r>
      <w:r w:rsidRPr="000A0425">
        <w:rPr>
          <w:rFonts w:ascii="Times New Roman" w:hAnsi="Times New Roman" w:cs="Times New Roman"/>
          <w:i/>
          <w:iCs/>
          <w:color w:val="000000" w:themeColor="text1"/>
        </w:rPr>
        <w:t>conflict-detection suppressor</w:t>
      </w:r>
      <w:r w:rsidRPr="000A0425">
        <w:rPr>
          <w:rFonts w:ascii="Times New Roman" w:hAnsi="Times New Roman" w:cs="Times New Roman"/>
          <w:color w:val="000000" w:themeColor="text1"/>
        </w:rPr>
        <w:t>: it hides the disagreements that substrate heterogeneity produces, by structurally instantiating projected engines that agree with the detecting agent’s own inference by construction. This is neither a form of cognitive laziness nor a lack of information — it is a definite representational commitment that renders substrate heterogeneity invisible.</w:t>
      </w:r>
    </w:p>
    <w:p w14:paraId="49910E03" w14:textId="287725C1"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interesting consequence is that naive projection is </w:t>
      </w:r>
      <w:r w:rsidRPr="000A0425">
        <w:rPr>
          <w:rFonts w:ascii="Times New Roman" w:hAnsi="Times New Roman" w:cs="Times New Roman"/>
          <w:i/>
          <w:iCs/>
          <w:color w:val="000000" w:themeColor="text1"/>
        </w:rPr>
        <w:t>bounded</w:t>
      </w:r>
      <w:r w:rsidRPr="000A0425">
        <w:rPr>
          <w:rFonts w:ascii="Times New Roman" w:hAnsi="Times New Roman" w:cs="Times New Roman"/>
          <w:color w:val="000000" w:themeColor="text1"/>
        </w:rPr>
        <w:t xml:space="preserve"> in its harm by the size of the substrate gap. When the substrate gap is small (Kanno-Markov), naive projection has little to suppress, so its accuracy penalty is small (aware gap +0.004). When the substrate gap is large (Domain17-tree), naive projection has much to suppress, and correspondingly more accuracy is left on the table. This inverts the intuition that naive projection should always be costly: it is costly only </w:t>
      </w:r>
      <w:r w:rsidR="008852E2" w:rsidRPr="000A0425">
        <w:rPr>
          <w:rFonts w:ascii="Times New Roman" w:hAnsi="Times New Roman" w:cs="Times New Roman"/>
          <w:color w:val="000000" w:themeColor="text1"/>
        </w:rPr>
        <w:t>when</w:t>
      </w:r>
      <w:r w:rsidRPr="000A0425">
        <w:rPr>
          <w:rFonts w:ascii="Times New Roman" w:hAnsi="Times New Roman" w:cs="Times New Roman"/>
          <w:color w:val="000000" w:themeColor="text1"/>
        </w:rPr>
        <w:t xml:space="preserve"> there is </w:t>
      </w:r>
      <w:r w:rsidR="008852E2" w:rsidRPr="000A0425">
        <w:rPr>
          <w:rFonts w:ascii="Times New Roman" w:hAnsi="Times New Roman" w:cs="Times New Roman"/>
          <w:color w:val="000000" w:themeColor="text1"/>
        </w:rPr>
        <w:t xml:space="preserve">a </w:t>
      </w:r>
      <w:r w:rsidRPr="000A0425">
        <w:rPr>
          <w:rFonts w:ascii="Times New Roman" w:hAnsi="Times New Roman" w:cs="Times New Roman"/>
          <w:color w:val="000000" w:themeColor="text1"/>
        </w:rPr>
        <w:t xml:space="preserve">signal </w:t>
      </w:r>
      <w:r w:rsidR="008852E2" w:rsidRPr="000A0425">
        <w:rPr>
          <w:rFonts w:ascii="Times New Roman" w:hAnsi="Times New Roman" w:cs="Times New Roman"/>
          <w:color w:val="000000" w:themeColor="text1"/>
        </w:rPr>
        <w:t>to be erased</w:t>
      </w:r>
      <w:r w:rsidRPr="000A0425">
        <w:rPr>
          <w:rFonts w:ascii="Times New Roman" w:hAnsi="Times New Roman" w:cs="Times New Roman"/>
          <w:color w:val="000000" w:themeColor="text1"/>
        </w:rPr>
        <w:t>.</w:t>
      </w:r>
    </w:p>
    <w:p w14:paraId="49910E04" w14:textId="77777777" w:rsidR="003D122F" w:rsidRPr="000A0425" w:rsidRDefault="007C1A26">
      <w:pPr>
        <w:pStyle w:val="Heading2"/>
        <w:rPr>
          <w:rFonts w:ascii="Times New Roman" w:hAnsi="Times New Roman" w:cs="Times New Roman"/>
          <w:color w:val="000000" w:themeColor="text1"/>
          <w:sz w:val="24"/>
          <w:szCs w:val="24"/>
        </w:rPr>
      </w:pPr>
      <w:bookmarkStart w:id="36" w:name="X9c7ff6da330b7bf0724e132902d30919873b76f"/>
      <w:bookmarkEnd w:id="35"/>
      <w:r w:rsidRPr="000A0425">
        <w:rPr>
          <w:rFonts w:ascii="Times New Roman" w:hAnsi="Times New Roman" w:cs="Times New Roman"/>
          <w:color w:val="000000" w:themeColor="text1"/>
          <w:sz w:val="24"/>
          <w:szCs w:val="24"/>
        </w:rPr>
        <w:t>6.3 Phantom conflicts and the sensitivity ceiling</w:t>
      </w:r>
    </w:p>
    <w:p w14:paraId="49910E05"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phantom/real decomposition surfaces a further subtlety. Not all sensitivity is productive. The extra conflicts detected under aware projection with mismatched substrates include a substantial </w:t>
      </w:r>
      <w:r w:rsidRPr="000A0425">
        <w:rPr>
          <w:rFonts w:ascii="Times New Roman" w:hAnsi="Times New Roman" w:cs="Times New Roman"/>
          <w:color w:val="000000" w:themeColor="text1"/>
        </w:rPr>
        <w:lastRenderedPageBreak/>
        <w:t xml:space="preserve">fraction (typically 40–50%) in which the detecting agent is already </w:t>
      </w:r>
      <w:proofErr w:type="gramStart"/>
      <w:r w:rsidRPr="000A0425">
        <w:rPr>
          <w:rFonts w:ascii="Times New Roman" w:hAnsi="Times New Roman" w:cs="Times New Roman"/>
          <w:color w:val="000000" w:themeColor="text1"/>
        </w:rPr>
        <w:t>correct</w:t>
      </w:r>
      <w:proofErr w:type="gramEnd"/>
      <w:r w:rsidRPr="000A0425">
        <w:rPr>
          <w:rFonts w:ascii="Times New Roman" w:hAnsi="Times New Roman" w:cs="Times New Roman"/>
          <w:color w:val="000000" w:themeColor="text1"/>
        </w:rPr>
        <w:t xml:space="preserve"> and the perceived mismatch is illusory from an oracle’s perspective. These phantom conflicts drive the coop phase to spend actions on nodes that did not need action, potentially degrading the team’s action efficiency.</w:t>
      </w:r>
    </w:p>
    <w:p w14:paraId="49910E0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This gives a natural ceiling </w:t>
      </w:r>
      <w:proofErr w:type="gramStart"/>
      <w:r w:rsidRPr="000A0425">
        <w:rPr>
          <w:rFonts w:ascii="Times New Roman" w:hAnsi="Times New Roman" w:cs="Times New Roman"/>
          <w:color w:val="000000" w:themeColor="text1"/>
        </w:rPr>
        <w:t>on</w:t>
      </w:r>
      <w:proofErr w:type="gramEnd"/>
      <w:r w:rsidRPr="000A0425">
        <w:rPr>
          <w:rFonts w:ascii="Times New Roman" w:hAnsi="Times New Roman" w:cs="Times New Roman"/>
          <w:color w:val="000000" w:themeColor="text1"/>
        </w:rPr>
        <w:t xml:space="preserve"> the sensitivity gain. Even when a team can detect a great many mismatch-induced conflicts (Domain17-tree, +30.8 extras), the team is only marginally better off in coordination terms because half of that extra activity is misdirected. The tree engine’s L1 quality loss is what tips this from a wash into an accuracy loss.</w:t>
      </w:r>
    </w:p>
    <w:p w14:paraId="49910E07" w14:textId="23E28CDF" w:rsidR="003D122F" w:rsidRPr="000A0425" w:rsidRDefault="008852E2">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phantom effect is not merely a nuisance: it may be the mechanism linking substrate diversity to dysfunctional coordination. A team of agents with different substrates is not a team with more </w:t>
      </w:r>
      <w:proofErr w:type="gramStart"/>
      <w:r w:rsidRPr="000A0425">
        <w:rPr>
          <w:rFonts w:ascii="Times New Roman" w:hAnsi="Times New Roman" w:cs="Times New Roman"/>
          <w:color w:val="000000" w:themeColor="text1"/>
        </w:rPr>
        <w:t>perspectives to bring</w:t>
      </w:r>
      <w:proofErr w:type="gramEnd"/>
      <w:r w:rsidRPr="000A0425">
        <w:rPr>
          <w:rFonts w:ascii="Times New Roman" w:hAnsi="Times New Roman" w:cs="Times New Roman"/>
          <w:color w:val="000000" w:themeColor="text1"/>
        </w:rPr>
        <w:t xml:space="preserve"> to bear; it is a team that generates additional disagreements, most of which are structurally illusory. In a real human-AI teaming context, one could reasonably ask whether </w:t>
      </w:r>
      <w:proofErr w:type="gramStart"/>
      <w:r w:rsidRPr="000A0425">
        <w:rPr>
          <w:rFonts w:ascii="Times New Roman" w:hAnsi="Times New Roman" w:cs="Times New Roman"/>
          <w:color w:val="000000" w:themeColor="text1"/>
        </w:rPr>
        <w:t>a majority of</w:t>
      </w:r>
      <w:proofErr w:type="gramEnd"/>
      <w:r w:rsidRPr="000A0425">
        <w:rPr>
          <w:rFonts w:ascii="Times New Roman" w:hAnsi="Times New Roman" w:cs="Times New Roman"/>
          <w:color w:val="000000" w:themeColor="text1"/>
        </w:rPr>
        <w:t xml:space="preserve"> disagreements between a human expert and a model are “real” (the human is wrong and would benefit from the model’s flag) or “phantom” (the human is right and the flag will simply produce friction). Extending this to real teams is speculative, but the framework generalizes.</w:t>
      </w:r>
    </w:p>
    <w:p w14:paraId="49910E08" w14:textId="18F89A5B" w:rsidR="003D122F" w:rsidRPr="000A0425" w:rsidRDefault="007C1A26">
      <w:pPr>
        <w:pStyle w:val="Heading2"/>
        <w:rPr>
          <w:rFonts w:ascii="Times New Roman" w:hAnsi="Times New Roman" w:cs="Times New Roman"/>
          <w:color w:val="000000" w:themeColor="text1"/>
          <w:sz w:val="24"/>
          <w:szCs w:val="24"/>
        </w:rPr>
      </w:pPr>
      <w:bookmarkStart w:id="37" w:name="the-markov-surprise"/>
      <w:bookmarkEnd w:id="36"/>
      <w:r w:rsidRPr="000A0425">
        <w:rPr>
          <w:rFonts w:ascii="Times New Roman" w:hAnsi="Times New Roman" w:cs="Times New Roman"/>
          <w:color w:val="000000" w:themeColor="text1"/>
          <w:sz w:val="24"/>
          <w:szCs w:val="24"/>
        </w:rPr>
        <w:t xml:space="preserve">6.4 The Markov </w:t>
      </w:r>
      <w:r w:rsidR="008852E2" w:rsidRPr="000A0425">
        <w:rPr>
          <w:rFonts w:ascii="Times New Roman" w:hAnsi="Times New Roman" w:cs="Times New Roman"/>
          <w:color w:val="000000" w:themeColor="text1"/>
          <w:sz w:val="24"/>
          <w:szCs w:val="24"/>
        </w:rPr>
        <w:t>finding</w:t>
      </w:r>
    </w:p>
    <w:p w14:paraId="49910E09" w14:textId="1446581F"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most surprising cell in Table 1 is Domain17-Markov, where the substrate gap is mildly </w:t>
      </w:r>
      <w:r w:rsidRPr="000A0425">
        <w:rPr>
          <w:rFonts w:ascii="Times New Roman" w:hAnsi="Times New Roman" w:cs="Times New Roman"/>
          <w:i/>
          <w:iCs/>
          <w:color w:val="000000" w:themeColor="text1"/>
        </w:rPr>
        <w:t>negative</w:t>
      </w:r>
      <w:r w:rsidRPr="000A0425">
        <w:rPr>
          <w:rFonts w:ascii="Times New Roman" w:hAnsi="Times New Roman" w:cs="Times New Roman"/>
          <w:color w:val="000000" w:themeColor="text1"/>
        </w:rPr>
        <w:t xml:space="preserve"> — mismatched teams marginally beat matched teams. In an earlier draft of this project</w:t>
      </w:r>
      <w:r w:rsidR="008852E2" w:rsidRPr="000A0425">
        <w:rPr>
          <w:rFonts w:ascii="Times New Roman" w:hAnsi="Times New Roman" w:cs="Times New Roman"/>
          <w:color w:val="000000" w:themeColor="text1"/>
        </w:rPr>
        <w:t>,</w:t>
      </w:r>
      <w:r w:rsidRPr="000A0425">
        <w:rPr>
          <w:rFonts w:ascii="Times New Roman" w:hAnsi="Times New Roman" w:cs="Times New Roman"/>
          <w:color w:val="000000" w:themeColor="text1"/>
        </w:rPr>
        <w:t xml:space="preserve"> we identified this as an unresolved anomaly. With the two-force account in hand, it is no longer anomalous. Domain17-Markov satisfies exactly the conditions where sensitivity gain (real +10.5) outweighs quality loss (small — Markov’s dominant-parent-mediated approximation is close to BBN on Domain17’s CPTs). It fits the account.</w:t>
      </w:r>
    </w:p>
    <w:p w14:paraId="49910E0A" w14:textId="08FDAEB4"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Markov approximation being nearly lossless on many real Bayesian networks is a familiar practical observation, driven by the concentration of mutual information in dominant parent edges when CPTs are strongly informative. The finding here is that this near-losslessness has a cooperative-diagnosis consequence: a Markov agent can be added to a BBN team without </w:t>
      </w:r>
      <w:r w:rsidR="008852E2" w:rsidRPr="000A0425">
        <w:rPr>
          <w:rFonts w:ascii="Times New Roman" w:hAnsi="Times New Roman" w:cs="Times New Roman"/>
          <w:color w:val="000000" w:themeColor="text1"/>
        </w:rPr>
        <w:t>an accuracy cost, and the sensitivity signal it</w:t>
      </w:r>
      <w:r w:rsidRPr="000A0425">
        <w:rPr>
          <w:rFonts w:ascii="Times New Roman" w:hAnsi="Times New Roman" w:cs="Times New Roman"/>
          <w:color w:val="000000" w:themeColor="text1"/>
        </w:rPr>
        <w:t xml:space="preserve"> generates is a modest positive contribution.</w:t>
      </w:r>
    </w:p>
    <w:p w14:paraId="49910E0B" w14:textId="77777777" w:rsidR="003D122F" w:rsidRPr="000A0425" w:rsidRDefault="007C1A26">
      <w:pPr>
        <w:pStyle w:val="Heading2"/>
        <w:rPr>
          <w:rFonts w:ascii="Times New Roman" w:hAnsi="Times New Roman" w:cs="Times New Roman"/>
          <w:color w:val="000000" w:themeColor="text1"/>
          <w:sz w:val="24"/>
          <w:szCs w:val="24"/>
        </w:rPr>
      </w:pPr>
      <w:bookmarkStart w:id="38" w:name="boundary-conditions-and-limitations"/>
      <w:bookmarkEnd w:id="37"/>
      <w:r w:rsidRPr="000A0425">
        <w:rPr>
          <w:rFonts w:ascii="Times New Roman" w:hAnsi="Times New Roman" w:cs="Times New Roman"/>
          <w:color w:val="000000" w:themeColor="text1"/>
          <w:sz w:val="24"/>
          <w:szCs w:val="24"/>
        </w:rPr>
        <w:t>6.5 Boundary conditions and limitations</w:t>
      </w:r>
    </w:p>
    <w:p w14:paraId="49910E0C" w14:textId="0533A24D"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Several boundary conditions bear </w:t>
      </w:r>
      <w:proofErr w:type="gramStart"/>
      <w:r w:rsidRPr="000A0425">
        <w:rPr>
          <w:rFonts w:ascii="Times New Roman" w:hAnsi="Times New Roman" w:cs="Times New Roman"/>
          <w:color w:val="000000" w:themeColor="text1"/>
        </w:rPr>
        <w:t>noting</w:t>
      </w:r>
      <w:proofErr w:type="gramEnd"/>
      <w:r w:rsidRPr="000A0425">
        <w:rPr>
          <w:rFonts w:ascii="Times New Roman" w:hAnsi="Times New Roman" w:cs="Times New Roman"/>
          <w:color w:val="000000" w:themeColor="text1"/>
        </w:rPr>
        <w:t>. First, all teams in this study are three-person. This choice is inherited from Okabe et al. (2025), who justify it on the grounds that a three-person team is the minimum non-trivial unit for studying recursive mutual belief: a two-person dyad has no third-party belief structure to project, while a three-person team introduces the L3 projected-belief layer (agent A’s belief about agent B’s belief about agent C) without yet requiring the mental-subgrouping machinery of Mahardhika et al. (2016). This i</w:t>
      </w:r>
      <w:r w:rsidRPr="000A0425">
        <w:rPr>
          <w:rFonts w:ascii="Times New Roman" w:hAnsi="Times New Roman" w:cs="Times New Roman"/>
          <w:color w:val="000000" w:themeColor="text1"/>
        </w:rPr>
        <w:t xml:space="preserve">s a defensible starting point but a real limitation for external validity. Typical project management teams, software development teams, and emerging human-AI teams in operational settings have five to nine members, not three. Extending the substrate-heterogeneity manipulation to larger teams raises questions that </w:t>
      </w:r>
      <w:r w:rsidR="008852E2" w:rsidRPr="000A0425">
        <w:rPr>
          <w:rFonts w:ascii="Times New Roman" w:hAnsi="Times New Roman" w:cs="Times New Roman"/>
          <w:color w:val="000000" w:themeColor="text1"/>
        </w:rPr>
        <w:t>our results do not resolve</w:t>
      </w:r>
      <w:r w:rsidRPr="000A0425">
        <w:rPr>
          <w:rFonts w:ascii="Times New Roman" w:hAnsi="Times New Roman" w:cs="Times New Roman"/>
          <w:color w:val="000000" w:themeColor="text1"/>
        </w:rPr>
        <w:t xml:space="preserve">. The number of belief structures per agent grows roughly quadratically with team size in the absence of subgrouping (7 at N=3, 21 at N=5, 43 at N=7, 73 at N=9), which means the substrate-instantiation choices multiply and the aware-vs-naive projection distinction touches many more engines. Larger teams also admit richer heterogeneity </w:t>
      </w:r>
      <w:r w:rsidRPr="000A0425">
        <w:rPr>
          <w:rFonts w:ascii="Times New Roman" w:hAnsi="Times New Roman" w:cs="Times New Roman"/>
          <w:color w:val="000000" w:themeColor="text1"/>
        </w:rPr>
        <w:lastRenderedPageBreak/>
        <w:t>structures that we cannot study at N=3 — one-outlier-of-N (a natural generalization of our two-vs-one design), majority-minority splits, and substrate-clustered subteams where</w:t>
      </w:r>
      <w:r w:rsidRPr="000A0425">
        <w:rPr>
          <w:rFonts w:ascii="Times New Roman" w:hAnsi="Times New Roman" w:cs="Times New Roman"/>
          <w:color w:val="000000" w:themeColor="text1"/>
        </w:rPr>
        <w:t xml:space="preserve"> members </w:t>
      </w:r>
      <w:proofErr w:type="gramStart"/>
      <w:r w:rsidRPr="000A0425">
        <w:rPr>
          <w:rFonts w:ascii="Times New Roman" w:hAnsi="Times New Roman" w:cs="Times New Roman"/>
          <w:color w:val="000000" w:themeColor="text1"/>
        </w:rPr>
        <w:t>using</w:t>
      </w:r>
      <w:proofErr w:type="gramEnd"/>
      <w:r w:rsidRPr="000A0425">
        <w:rPr>
          <w:rFonts w:ascii="Times New Roman" w:hAnsi="Times New Roman" w:cs="Times New Roman"/>
          <w:color w:val="000000" w:themeColor="text1"/>
        </w:rPr>
        <w:t xml:space="preserve"> the same substrate co-locate — each with potentially different two-force balances. The two-force account makes qualitative predictions that we would expect to survive scaling: sensitivity gain should scale approximately with the number of substrate-crossing projected engines, quality loss should scale with the fraction of teammates on the lower-quality substrate, and naive projection should continue to suppress the aware-projection sensitivity signal. Whether these components combine at large</w:t>
      </w:r>
      <w:r w:rsidRPr="000A0425">
        <w:rPr>
          <w:rFonts w:ascii="Times New Roman" w:hAnsi="Times New Roman" w:cs="Times New Roman"/>
          <w:color w:val="000000" w:themeColor="text1"/>
        </w:rPr>
        <w:t>r N to preserve, amplify, or reverse the substrate-gap signs we observe here is an empirical question we cannot settle from a three-person study. This is the most consequential open extension of the framework.</w:t>
      </w:r>
    </w:p>
    <w:p w14:paraId="49910E0D" w14:textId="28E61461"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Second, all results reported here are at THD = 0.55. Preliminary sweeps at THD = 0.65 (on Kanno-tree) show the sensitivity mechanism intact but the aware-vs-naive accuracy consequences change with threshold — this is expected, since higher thresholds produce fewer commitments and therefore less surface area for aware/naive to bite. A full THD × cell sweep is a natural next </w:t>
      </w:r>
      <w:r w:rsidR="008852E2" w:rsidRPr="000A0425">
        <w:rPr>
          <w:rFonts w:ascii="Times New Roman" w:hAnsi="Times New Roman" w:cs="Times New Roman"/>
          <w:color w:val="000000" w:themeColor="text1"/>
        </w:rPr>
        <w:t xml:space="preserve">step in the </w:t>
      </w:r>
      <w:r w:rsidRPr="000A0425">
        <w:rPr>
          <w:rFonts w:ascii="Times New Roman" w:hAnsi="Times New Roman" w:cs="Times New Roman"/>
          <w:color w:val="000000" w:themeColor="text1"/>
        </w:rPr>
        <w:t>study.</w:t>
      </w:r>
    </w:p>
    <w:p w14:paraId="49910E0E" w14:textId="6652E7A6"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Third, our N=15 per cell is </w:t>
      </w:r>
      <w:r w:rsidR="008852E2" w:rsidRPr="000A0425">
        <w:rPr>
          <w:rFonts w:ascii="Times New Roman" w:hAnsi="Times New Roman" w:cs="Times New Roman"/>
          <w:color w:val="000000" w:themeColor="text1"/>
        </w:rPr>
        <w:t>lower than the original EMBM protocol's</w:t>
      </w:r>
      <w:r w:rsidRPr="000A0425">
        <w:rPr>
          <w:rFonts w:ascii="Times New Roman" w:hAnsi="Times New Roman" w:cs="Times New Roman"/>
          <w:color w:val="000000" w:themeColor="text1"/>
        </w:rPr>
        <w:t xml:space="preserve"> N=40. Aggregate estimates are stable at this N; per-scenario estimates carry larger uncertainty. Where our claims turn on 8/8 replication of a sign, replication is at 8/8 regardless of N; where they turn on aggregate significance testing, the reduced N is a conservative choice (less power) rather than a permissive one.</w:t>
      </w:r>
    </w:p>
    <w:p w14:paraId="49910E0F" w14:textId="77BA3A74"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Fourth, we used hand-specified engines throughout. Learned engines (e.g., a decision tree trained on fault data rather than compiled from CPTs) would introduce training-noise confounds that we deliberately avoided. Extending the framework to learned engines is a natural direction</w:t>
      </w:r>
      <w:r w:rsidR="008852E2" w:rsidRPr="000A0425">
        <w:rPr>
          <w:rFonts w:ascii="Times New Roman" w:hAnsi="Times New Roman" w:cs="Times New Roman"/>
          <w:color w:val="000000" w:themeColor="text1"/>
        </w:rPr>
        <w:t xml:space="preserve">, but it requires care to disentangle substrate structure from the </w:t>
      </w:r>
      <w:r w:rsidRPr="000A0425">
        <w:rPr>
          <w:rFonts w:ascii="Times New Roman" w:hAnsi="Times New Roman" w:cs="Times New Roman"/>
          <w:color w:val="000000" w:themeColor="text1"/>
        </w:rPr>
        <w:t>training regime.</w:t>
      </w:r>
    </w:p>
    <w:p w14:paraId="49910E10"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Fifth, we studied three substrates. Others — for example, large language models used as approximate posterior estimators — would extend the analysis but require new translation rules. Nothing in the two-force account is specific to the three substrates we used.</w:t>
      </w:r>
    </w:p>
    <w:p w14:paraId="49910E11"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Sixth, the phantom/real decomposition is defined at the level of the initial-conflict snapshot, before cooperation. Extending it to the full cooperation trajectory would require tracking whether each action taken during coop resolved a real or phantom conflict </w:t>
      </w:r>
      <w:proofErr w:type="gramStart"/>
      <w:r w:rsidRPr="000A0425">
        <w:rPr>
          <w:rFonts w:ascii="Times New Roman" w:hAnsi="Times New Roman" w:cs="Times New Roman"/>
          <w:color w:val="000000" w:themeColor="text1"/>
        </w:rPr>
        <w:t>at the moment</w:t>
      </w:r>
      <w:proofErr w:type="gramEnd"/>
      <w:r w:rsidRPr="000A0425">
        <w:rPr>
          <w:rFonts w:ascii="Times New Roman" w:hAnsi="Times New Roman" w:cs="Times New Roman"/>
          <w:color w:val="000000" w:themeColor="text1"/>
        </w:rPr>
        <w:t xml:space="preserve"> it was taken. This is a next-instrumentation step.</w:t>
      </w:r>
    </w:p>
    <w:p w14:paraId="49910E12" w14:textId="77777777" w:rsidR="003D122F" w:rsidRPr="000A0425" w:rsidRDefault="007C1A26">
      <w:pPr>
        <w:pStyle w:val="Heading1"/>
        <w:rPr>
          <w:rFonts w:ascii="Times New Roman" w:hAnsi="Times New Roman" w:cs="Times New Roman"/>
          <w:color w:val="000000" w:themeColor="text1"/>
          <w:sz w:val="24"/>
          <w:szCs w:val="24"/>
        </w:rPr>
      </w:pPr>
      <w:bookmarkStart w:id="39" w:name="conclusion"/>
      <w:bookmarkEnd w:id="33"/>
      <w:bookmarkEnd w:id="38"/>
      <w:r w:rsidRPr="000A0425">
        <w:rPr>
          <w:rFonts w:ascii="Times New Roman" w:hAnsi="Times New Roman" w:cs="Times New Roman"/>
          <w:color w:val="000000" w:themeColor="text1"/>
          <w:sz w:val="24"/>
          <w:szCs w:val="24"/>
        </w:rPr>
        <w:t>7. Conclusion</w:t>
      </w:r>
    </w:p>
    <w:p w14:paraId="49910E13" w14:textId="39C4FC38"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Substrate heterogeneity in recursive-mutual-belief teams is not a single force. </w:t>
      </w:r>
      <w:proofErr w:type="gramStart"/>
      <w:r w:rsidRPr="000A0425">
        <w:rPr>
          <w:rFonts w:ascii="Times New Roman" w:hAnsi="Times New Roman" w:cs="Times New Roman"/>
          <w:color w:val="000000" w:themeColor="text1"/>
        </w:rPr>
        <w:t>It is</w:t>
      </w:r>
      <w:proofErr w:type="gramEnd"/>
      <w:r w:rsidRPr="000A0425">
        <w:rPr>
          <w:rFonts w:ascii="Times New Roman" w:hAnsi="Times New Roman" w:cs="Times New Roman"/>
          <w:color w:val="000000" w:themeColor="text1"/>
        </w:rPr>
        <w:t xml:space="preserve"> at least two: a sensitivity gain that surfaces additional inter-agent conflicts when projection is aware of </w:t>
      </w:r>
      <w:r w:rsidR="008852E2" w:rsidRPr="000A0425">
        <w:rPr>
          <w:rFonts w:ascii="Times New Roman" w:hAnsi="Times New Roman" w:cs="Times New Roman"/>
          <w:color w:val="000000" w:themeColor="text1"/>
        </w:rPr>
        <w:t>heterogeneity, and an inference quality loss that scales with the extent to which</w:t>
      </w:r>
      <w:r w:rsidRPr="000A0425">
        <w:rPr>
          <w:rFonts w:ascii="Times New Roman" w:hAnsi="Times New Roman" w:cs="Times New Roman"/>
          <w:color w:val="000000" w:themeColor="text1"/>
        </w:rPr>
        <w:t xml:space="preserve"> the mismatched substrate degrades single-agent diagnostic accuracy. The signed effect of mismatch on team accuracy is the balance, and it can go either way depending on the (network, axis) regime.</w:t>
      </w:r>
    </w:p>
    <w:p w14:paraId="49910E1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two forces are separately measurable and separately robust. The sensitivity gain replicates with per-scenario perfect (8/8) or near-perfect (6/8) sign consistency in all four (network × axis) cells we studied. The naive-projection suppression of that sensitivity replicates similarly, and the </w:t>
      </w:r>
      <w:r w:rsidRPr="000A0425">
        <w:rPr>
          <w:rFonts w:ascii="Times New Roman" w:hAnsi="Times New Roman" w:cs="Times New Roman"/>
          <w:color w:val="000000" w:themeColor="text1"/>
        </w:rPr>
        <w:lastRenderedPageBreak/>
        <w:t>matched-team specificity check confirms both effects arise specifically from heterogeneity rather than from projection mode per se. The phantom/real decomposition shows the sensitivity gain is real but not fully productive.</w:t>
      </w:r>
    </w:p>
    <w:p w14:paraId="49910E15" w14:textId="23ADE0BD"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The Anthropomorphization Trap — the original hypothesis that assuming your heterogeneous teammate reasons like you do costs accuracy — is best understood </w:t>
      </w:r>
      <w:proofErr w:type="gramStart"/>
      <w:r w:rsidRPr="000A0425">
        <w:rPr>
          <w:rFonts w:ascii="Times New Roman" w:hAnsi="Times New Roman" w:cs="Times New Roman"/>
          <w:color w:val="000000" w:themeColor="text1"/>
        </w:rPr>
        <w:t>as a consequence of</w:t>
      </w:r>
      <w:proofErr w:type="gramEnd"/>
      <w:r w:rsidRPr="000A0425">
        <w:rPr>
          <w:rFonts w:ascii="Times New Roman" w:hAnsi="Times New Roman" w:cs="Times New Roman"/>
          <w:color w:val="000000" w:themeColor="text1"/>
        </w:rPr>
        <w:t xml:space="preserve"> these two forces plus the naive-projection suppression, rather than as a single-mechanism prediction. When the substrate gap is large, naive projection loses meaningful information about disagreements, so aware projection wins. When the substrate gap is small, naive projection has little to lose. Whether </w:t>
      </w:r>
      <w:r w:rsidR="000E0D10" w:rsidRPr="000A0425">
        <w:rPr>
          <w:rFonts w:ascii="Times New Roman" w:hAnsi="Times New Roman" w:cs="Times New Roman"/>
          <w:color w:val="000000" w:themeColor="text1"/>
        </w:rPr>
        <w:t>a mismatch is beneficial or harmful in the first place depends on whether the two underlying forces are balanced toward</w:t>
      </w:r>
      <w:r w:rsidRPr="000A0425">
        <w:rPr>
          <w:rFonts w:ascii="Times New Roman" w:hAnsi="Times New Roman" w:cs="Times New Roman"/>
          <w:color w:val="000000" w:themeColor="text1"/>
        </w:rPr>
        <w:t xml:space="preserve"> sensitivity or quality.</w:t>
      </w:r>
    </w:p>
    <w:p w14:paraId="49910E1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We suggest that recursive-mutual-belief models of team cognition are best formulated with pluggable inference substrates from the outset. Homogeneity assumptions are analytically convenient but empirically restrictive, and — as this paper shows — the coordination dynamics they hide are not merely additive corrections but structurally distinct forces whose balance is the actual dependent variable of interest.</w:t>
      </w:r>
    </w:p>
    <w:p w14:paraId="49910E17" w14:textId="77777777" w:rsidR="003D122F" w:rsidRPr="000A0425" w:rsidRDefault="007C1A26">
      <w:pPr>
        <w:pStyle w:val="Heading1"/>
        <w:rPr>
          <w:rFonts w:ascii="Times New Roman" w:hAnsi="Times New Roman" w:cs="Times New Roman"/>
          <w:color w:val="000000" w:themeColor="text1"/>
          <w:sz w:val="24"/>
          <w:szCs w:val="24"/>
        </w:rPr>
      </w:pPr>
      <w:bookmarkStart w:id="40" w:name="acknowledgments"/>
      <w:bookmarkEnd w:id="39"/>
      <w:r w:rsidRPr="000A0425">
        <w:rPr>
          <w:rFonts w:ascii="Times New Roman" w:hAnsi="Times New Roman" w:cs="Times New Roman"/>
          <w:color w:val="000000" w:themeColor="text1"/>
          <w:sz w:val="24"/>
          <w:szCs w:val="24"/>
        </w:rPr>
        <w:t>Acknowledgments</w:t>
      </w:r>
    </w:p>
    <w:p w14:paraId="49910E18"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[Reserved.]</w:t>
      </w:r>
    </w:p>
    <w:p w14:paraId="49910E19" w14:textId="77777777" w:rsidR="003D122F" w:rsidRPr="000A0425" w:rsidRDefault="007C1A26">
      <w:pPr>
        <w:pStyle w:val="Heading1"/>
        <w:rPr>
          <w:rFonts w:ascii="Times New Roman" w:hAnsi="Times New Roman" w:cs="Times New Roman"/>
          <w:color w:val="000000" w:themeColor="text1"/>
          <w:sz w:val="24"/>
          <w:szCs w:val="24"/>
        </w:rPr>
      </w:pPr>
      <w:bookmarkStart w:id="41" w:name="data-availability"/>
      <w:bookmarkEnd w:id="40"/>
      <w:r w:rsidRPr="000A0425">
        <w:rPr>
          <w:rFonts w:ascii="Times New Roman" w:hAnsi="Times New Roman" w:cs="Times New Roman"/>
          <w:color w:val="000000" w:themeColor="text1"/>
          <w:sz w:val="24"/>
          <w:szCs w:val="24"/>
        </w:rPr>
        <w:t>Data availability</w:t>
      </w:r>
    </w:p>
    <w:p w14:paraId="49910E1A" w14:textId="7C25CAA6"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All experimental scripts and results JSONs are available at </w:t>
      </w:r>
      <w:hyperlink r:id="rId15" w:history="1">
        <w:r w:rsidR="00C43947" w:rsidRPr="000A0425">
          <w:rPr>
            <w:rStyle w:val="Hyperlink"/>
            <w:rFonts w:ascii="Times New Roman" w:hAnsi="Times New Roman" w:cs="Times New Roman"/>
            <w:color w:val="000000" w:themeColor="text1"/>
          </w:rPr>
          <w:t>https://github.com/rkallur2/abm</w:t>
        </w:r>
      </w:hyperlink>
      <w:r w:rsidR="00197B96" w:rsidRPr="000A0425">
        <w:rPr>
          <w:rFonts w:ascii="Times New Roman" w:hAnsi="Times New Roman" w:cs="Times New Roman"/>
          <w:color w:val="000000" w:themeColor="text1"/>
        </w:rPr>
        <w:t xml:space="preserve">. </w:t>
      </w:r>
      <w:r w:rsidRPr="000A0425">
        <w:rPr>
          <w:rFonts w:ascii="Times New Roman" w:hAnsi="Times New Roman" w:cs="Times New Roman"/>
          <w:color w:val="000000" w:themeColor="text1"/>
        </w:rPr>
        <w:t xml:space="preserve">The 2×2×2 design can be reproduced </w:t>
      </w:r>
      <w:r w:rsidR="00197B96" w:rsidRPr="000A0425">
        <w:rPr>
          <w:rFonts w:ascii="Times New Roman" w:hAnsi="Times New Roman" w:cs="Times New Roman"/>
          <w:color w:val="000000" w:themeColor="text1"/>
        </w:rPr>
        <w:t>using run_conflict_instrument.py {domain17|kanno} {</w:t>
      </w:r>
      <w:proofErr w:type="spellStart"/>
      <w:r w:rsidR="00197B96" w:rsidRPr="000A0425">
        <w:rPr>
          <w:rFonts w:ascii="Times New Roman" w:hAnsi="Times New Roman" w:cs="Times New Roman"/>
          <w:color w:val="000000" w:themeColor="text1"/>
        </w:rPr>
        <w:t>tree|markov</w:t>
      </w:r>
      <w:proofErr w:type="spellEnd"/>
      <w:r w:rsidR="00197B96" w:rsidRPr="000A0425">
        <w:rPr>
          <w:rFonts w:ascii="Times New Roman" w:hAnsi="Times New Roman" w:cs="Times New Roman"/>
          <w:color w:val="000000" w:themeColor="text1"/>
        </w:rPr>
        <w:t>} with the documented base seeds (900_000, 910_000, 500_000, 800_000 for the four cells,</w:t>
      </w:r>
      <w:r w:rsidRPr="000A0425">
        <w:rPr>
          <w:rFonts w:ascii="Times New Roman" w:hAnsi="Times New Roman" w:cs="Times New Roman"/>
          <w:color w:val="000000" w:themeColor="text1"/>
        </w:rPr>
        <w:t xml:space="preserve"> respectively).</w:t>
      </w:r>
    </w:p>
    <w:p w14:paraId="49910E1B" w14:textId="77777777" w:rsidR="003D122F" w:rsidRPr="000A0425" w:rsidRDefault="007C1A26">
      <w:pPr>
        <w:pStyle w:val="Heading1"/>
        <w:rPr>
          <w:rFonts w:ascii="Times New Roman" w:hAnsi="Times New Roman" w:cs="Times New Roman"/>
          <w:color w:val="000000" w:themeColor="text1"/>
          <w:sz w:val="24"/>
          <w:szCs w:val="24"/>
        </w:rPr>
      </w:pPr>
      <w:bookmarkStart w:id="42" w:name="references"/>
      <w:bookmarkEnd w:id="41"/>
      <w:r w:rsidRPr="000A0425">
        <w:rPr>
          <w:rFonts w:ascii="Times New Roman" w:hAnsi="Times New Roman" w:cs="Times New Roman"/>
          <w:color w:val="000000" w:themeColor="text1"/>
          <w:sz w:val="24"/>
          <w:szCs w:val="24"/>
        </w:rPr>
        <w:t>References</w:t>
      </w:r>
    </w:p>
    <w:p w14:paraId="49910E1C" w14:textId="77777777" w:rsidR="003D122F" w:rsidRPr="000A0425" w:rsidRDefault="007C1A26">
      <w:pPr>
        <w:pStyle w:val="FirstParagraph"/>
        <w:rPr>
          <w:rFonts w:ascii="Times New Roman" w:hAnsi="Times New Roman" w:cs="Times New Roman"/>
          <w:color w:val="000000" w:themeColor="text1"/>
        </w:rPr>
      </w:pPr>
      <w:r w:rsidRPr="000A0425">
        <w:rPr>
          <w:rFonts w:ascii="Times New Roman" w:hAnsi="Times New Roman" w:cs="Times New Roman"/>
          <w:color w:val="000000" w:themeColor="text1"/>
        </w:rPr>
        <w:t xml:space="preserve">Anderson, J. R., &amp; Lebiere, C. (1998). </w:t>
      </w:r>
      <w:r w:rsidRPr="000A0425">
        <w:rPr>
          <w:rFonts w:ascii="Times New Roman" w:hAnsi="Times New Roman" w:cs="Times New Roman"/>
          <w:i/>
          <w:iCs/>
          <w:color w:val="000000" w:themeColor="text1"/>
        </w:rPr>
        <w:t>The atomic components of thought</w:t>
      </w:r>
      <w:r w:rsidRPr="000A0425">
        <w:rPr>
          <w:rFonts w:ascii="Times New Roman" w:hAnsi="Times New Roman" w:cs="Times New Roman"/>
          <w:color w:val="000000" w:themeColor="text1"/>
        </w:rPr>
        <w:t>. Mahwah, NJ: Lawrence Erlbaum Associates.</w:t>
      </w:r>
    </w:p>
    <w:p w14:paraId="49910E1D"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Andrews, R. W., Lilly, J. M., Srivastava, D., &amp; Feigh, K. M. (2023). The role of shared mental models in human-AI teams: A theoretical review. </w:t>
      </w:r>
      <w:r w:rsidRPr="000A0425">
        <w:rPr>
          <w:rFonts w:ascii="Times New Roman" w:hAnsi="Times New Roman" w:cs="Times New Roman"/>
          <w:i/>
          <w:iCs/>
          <w:color w:val="000000" w:themeColor="text1"/>
        </w:rPr>
        <w:t>Theoretical Issues in Ergonomics Science</w:t>
      </w:r>
      <w:r w:rsidRPr="000A0425">
        <w:rPr>
          <w:rFonts w:ascii="Times New Roman" w:hAnsi="Times New Roman" w:cs="Times New Roman"/>
          <w:color w:val="000000" w:themeColor="text1"/>
        </w:rPr>
        <w:t>, 24(2), 129–175. https://doi.org/10.1080/1463922X.2022.2061080</w:t>
      </w:r>
    </w:p>
    <w:p w14:paraId="49910E1E"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Cao, S., MacLaren, N. G., Cao, Y., Marshall, J., Dong, Y., Yammarino, F. J., … Ruark, G. A. (2022). Group size and group performance in small collaborative team settings: An agent-based simulation model of collaborative decision-making dynamics. </w:t>
      </w:r>
      <w:r w:rsidRPr="000A0425">
        <w:rPr>
          <w:rFonts w:ascii="Times New Roman" w:hAnsi="Times New Roman" w:cs="Times New Roman"/>
          <w:i/>
          <w:iCs/>
          <w:color w:val="000000" w:themeColor="text1"/>
        </w:rPr>
        <w:t>Complexity</w:t>
      </w:r>
      <w:r w:rsidRPr="000A0425">
        <w:rPr>
          <w:rFonts w:ascii="Times New Roman" w:hAnsi="Times New Roman" w:cs="Times New Roman"/>
          <w:color w:val="000000" w:themeColor="text1"/>
        </w:rPr>
        <w:t>, 2022, 8265296. https://doi.org/10.1155/2022/8265296</w:t>
      </w:r>
    </w:p>
    <w:p w14:paraId="49910E1F"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Cooke, N. J., Salas, E., Cannon-Bowers, J. A., &amp; Stout, R. J. (2000). Measuring team knowledge. </w:t>
      </w:r>
      <w:r w:rsidRPr="000A0425">
        <w:rPr>
          <w:rFonts w:ascii="Times New Roman" w:hAnsi="Times New Roman" w:cs="Times New Roman"/>
          <w:i/>
          <w:iCs/>
          <w:color w:val="000000" w:themeColor="text1"/>
        </w:rPr>
        <w:t>Human Factors</w:t>
      </w:r>
      <w:r w:rsidRPr="000A0425">
        <w:rPr>
          <w:rFonts w:ascii="Times New Roman" w:hAnsi="Times New Roman" w:cs="Times New Roman"/>
          <w:color w:val="000000" w:themeColor="text1"/>
        </w:rPr>
        <w:t>, 42(1), 151–173. https://doi.org/10.1518/001872000779656561</w:t>
      </w:r>
    </w:p>
    <w:p w14:paraId="49910E20"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 xml:space="preserve">Cooke, N. J., Gorman, J. C., Myers, C. W., &amp; Duran, J. L. (2013). Interactive team cognition. </w:t>
      </w:r>
      <w:r w:rsidRPr="000A0425">
        <w:rPr>
          <w:rFonts w:ascii="Times New Roman" w:hAnsi="Times New Roman" w:cs="Times New Roman"/>
          <w:i/>
          <w:iCs/>
          <w:color w:val="000000" w:themeColor="text1"/>
        </w:rPr>
        <w:t>Cognitive Science</w:t>
      </w:r>
      <w:r w:rsidRPr="000A0425">
        <w:rPr>
          <w:rFonts w:ascii="Times New Roman" w:hAnsi="Times New Roman" w:cs="Times New Roman"/>
          <w:color w:val="000000" w:themeColor="text1"/>
        </w:rPr>
        <w:t>, 37(2), 255–285. https://doi.org/10.1111/cogs.12009</w:t>
      </w:r>
    </w:p>
    <w:p w14:paraId="49910E21"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Crosscombe, M., &amp; Lawry, J. (2016). A model of multi-agent consensus for vague and uncertain beliefs. </w:t>
      </w:r>
      <w:r w:rsidRPr="000A0425">
        <w:rPr>
          <w:rFonts w:ascii="Times New Roman" w:hAnsi="Times New Roman" w:cs="Times New Roman"/>
          <w:i/>
          <w:iCs/>
          <w:color w:val="000000" w:themeColor="text1"/>
        </w:rPr>
        <w:t>Adaptive Behavior</w:t>
      </w:r>
      <w:r w:rsidRPr="000A0425">
        <w:rPr>
          <w:rFonts w:ascii="Times New Roman" w:hAnsi="Times New Roman" w:cs="Times New Roman"/>
          <w:color w:val="000000" w:themeColor="text1"/>
        </w:rPr>
        <w:t>, 24(4), 249–260. https://doi.org/10.1177/1059712316661395</w:t>
      </w:r>
    </w:p>
    <w:p w14:paraId="49910E22"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Dourish, P., &amp; Bellotti, V. (1992). Awareness and coordination in shared workspaces. In </w:t>
      </w:r>
      <w:r w:rsidRPr="000A0425">
        <w:rPr>
          <w:rFonts w:ascii="Times New Roman" w:hAnsi="Times New Roman" w:cs="Times New Roman"/>
          <w:i/>
          <w:iCs/>
          <w:color w:val="000000" w:themeColor="text1"/>
        </w:rPr>
        <w:t>Proceedings of the 1992 ACM Conference on Computer-Supported Cooperative Work</w:t>
      </w:r>
      <w:r w:rsidRPr="000A0425">
        <w:rPr>
          <w:rFonts w:ascii="Times New Roman" w:hAnsi="Times New Roman" w:cs="Times New Roman"/>
          <w:color w:val="000000" w:themeColor="text1"/>
        </w:rPr>
        <w:t xml:space="preserve"> (pp. 107–114). https://doi.org/10.1145/143457.143468</w:t>
      </w:r>
    </w:p>
    <w:p w14:paraId="49910E23"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Flavell, J. H. (1979). Metacognition and cognitive monitoring: A new area of cognitive-developmental inquiry. </w:t>
      </w:r>
      <w:r w:rsidRPr="000A0425">
        <w:rPr>
          <w:rFonts w:ascii="Times New Roman" w:hAnsi="Times New Roman" w:cs="Times New Roman"/>
          <w:i/>
          <w:iCs/>
          <w:color w:val="000000" w:themeColor="text1"/>
        </w:rPr>
        <w:t>American Psychologist</w:t>
      </w:r>
      <w:r w:rsidRPr="000A0425">
        <w:rPr>
          <w:rFonts w:ascii="Times New Roman" w:hAnsi="Times New Roman" w:cs="Times New Roman"/>
          <w:color w:val="000000" w:themeColor="text1"/>
        </w:rPr>
        <w:t>, 34(10), 906–911. https://doi.org/10.1037/0003-066X.34.10.906</w:t>
      </w:r>
    </w:p>
    <w:p w14:paraId="49910E2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Flemisch, F., Abbink, D. A., Itoh, M., Pacaux-Lemoine, M.-P., &amp; Weßel, G. (2019). Joining the blunt and the pointy end of the spear: Towards a common framework of joint action, human–machine cooperation, cooperative guidance and control, shared, traded and supervisory control. </w:t>
      </w:r>
      <w:r w:rsidRPr="000A0425">
        <w:rPr>
          <w:rFonts w:ascii="Times New Roman" w:hAnsi="Times New Roman" w:cs="Times New Roman"/>
          <w:i/>
          <w:iCs/>
          <w:color w:val="000000" w:themeColor="text1"/>
        </w:rPr>
        <w:t>Cognition, Technology &amp; Work</w:t>
      </w:r>
      <w:r w:rsidRPr="000A0425">
        <w:rPr>
          <w:rFonts w:ascii="Times New Roman" w:hAnsi="Times New Roman" w:cs="Times New Roman"/>
          <w:color w:val="000000" w:themeColor="text1"/>
        </w:rPr>
        <w:t>, 21, 555–568. https://doi.org/10.1007/s10111-019-00576-1</w:t>
      </w:r>
    </w:p>
    <w:p w14:paraId="49910E25"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Glinton, R., Scerri, P., &amp; Sycara, K. P. (2010). Exploiting scale invariant dynamics for efficient information propagation in large teams. In </w:t>
      </w:r>
      <w:r w:rsidRPr="000A0425">
        <w:rPr>
          <w:rFonts w:ascii="Times New Roman" w:hAnsi="Times New Roman" w:cs="Times New Roman"/>
          <w:i/>
          <w:iCs/>
          <w:color w:val="000000" w:themeColor="text1"/>
        </w:rPr>
        <w:t>Proceedings of the 9th International Conference on Autonomous Agents and Multiagent Systems (AAMAS)</w:t>
      </w:r>
      <w:r w:rsidRPr="000A0425">
        <w:rPr>
          <w:rFonts w:ascii="Times New Roman" w:hAnsi="Times New Roman" w:cs="Times New Roman"/>
          <w:color w:val="000000" w:themeColor="text1"/>
        </w:rPr>
        <w:t xml:space="preserve"> (pp. 21–30).</w:t>
      </w:r>
    </w:p>
    <w:p w14:paraId="49910E2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Grimm, V., Berger, U., Bastiansen, F., Eliassen, S., Ginot, V., Giske, J., … DeAngelis, D. L. (2006). A standard protocol for describing individual-based and agent-based models. </w:t>
      </w:r>
      <w:r w:rsidRPr="000A0425">
        <w:rPr>
          <w:rFonts w:ascii="Times New Roman" w:hAnsi="Times New Roman" w:cs="Times New Roman"/>
          <w:i/>
          <w:iCs/>
          <w:color w:val="000000" w:themeColor="text1"/>
        </w:rPr>
        <w:t>Ecological Modelling</w:t>
      </w:r>
      <w:r w:rsidRPr="000A0425">
        <w:rPr>
          <w:rFonts w:ascii="Times New Roman" w:hAnsi="Times New Roman" w:cs="Times New Roman"/>
          <w:color w:val="000000" w:themeColor="text1"/>
        </w:rPr>
        <w:t>, 198(1–2), 115–126. https://doi.org/10.1016/j.ecolmodel.2006.04.023</w:t>
      </w:r>
    </w:p>
    <w:p w14:paraId="49910E2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Grimm, V., Railsback, S. F., Vincenot, C. E., Berger, U., Gallagher, C., DeAngelis, D. L., … Ayllón, D. (2020). The ODD protocol for describing agent-based and other simulation models: A second update to improve clarity, replication, and structural realism. </w:t>
      </w:r>
      <w:r w:rsidRPr="000A0425">
        <w:rPr>
          <w:rFonts w:ascii="Times New Roman" w:hAnsi="Times New Roman" w:cs="Times New Roman"/>
          <w:i/>
          <w:iCs/>
          <w:color w:val="000000" w:themeColor="text1"/>
        </w:rPr>
        <w:t>Journal of Artificial Societies and Social Simulation</w:t>
      </w:r>
      <w:r w:rsidRPr="000A0425">
        <w:rPr>
          <w:rFonts w:ascii="Times New Roman" w:hAnsi="Times New Roman" w:cs="Times New Roman"/>
          <w:color w:val="000000" w:themeColor="text1"/>
        </w:rPr>
        <w:t>, 23(2), 7. https://doi.org/10.18564/jasss.4259</w:t>
      </w:r>
    </w:p>
    <w:p w14:paraId="49910E28"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Gutwin, C., &amp; Greenberg, S. (2004). The importance of awareness for team cognition in distributed collaboration. In E. Salas &amp; S. M. Fiore (Eds.), </w:t>
      </w:r>
      <w:r w:rsidRPr="000A0425">
        <w:rPr>
          <w:rFonts w:ascii="Times New Roman" w:hAnsi="Times New Roman" w:cs="Times New Roman"/>
          <w:i/>
          <w:iCs/>
          <w:color w:val="000000" w:themeColor="text1"/>
        </w:rPr>
        <w:t>Team cognition: Understanding the factors that drive process and performance</w:t>
      </w:r>
      <w:r w:rsidRPr="000A0425">
        <w:rPr>
          <w:rFonts w:ascii="Times New Roman" w:hAnsi="Times New Roman" w:cs="Times New Roman"/>
          <w:color w:val="000000" w:themeColor="text1"/>
        </w:rPr>
        <w:t xml:space="preserve"> (pp. 177–201). American Psychological Association.</w:t>
      </w:r>
    </w:p>
    <w:p w14:paraId="49910E29"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Hutchins, E. (1995). </w:t>
      </w:r>
      <w:r w:rsidRPr="000A0425">
        <w:rPr>
          <w:rFonts w:ascii="Times New Roman" w:hAnsi="Times New Roman" w:cs="Times New Roman"/>
          <w:i/>
          <w:iCs/>
          <w:color w:val="000000" w:themeColor="text1"/>
        </w:rPr>
        <w:t>Cognition in the wild</w:t>
      </w:r>
      <w:r w:rsidRPr="000A0425">
        <w:rPr>
          <w:rFonts w:ascii="Times New Roman" w:hAnsi="Times New Roman" w:cs="Times New Roman"/>
          <w:color w:val="000000" w:themeColor="text1"/>
        </w:rPr>
        <w:t>. Cambridge, MA: MIT Press.</w:t>
      </w:r>
    </w:p>
    <w:p w14:paraId="49910E2A"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Kanno, T., Furuta, K., &amp; Kitahara, Y. (2013). A model of team cognition based on mutual beliefs. </w:t>
      </w:r>
      <w:r w:rsidRPr="000A0425">
        <w:rPr>
          <w:rFonts w:ascii="Times New Roman" w:hAnsi="Times New Roman" w:cs="Times New Roman"/>
          <w:i/>
          <w:iCs/>
          <w:color w:val="000000" w:themeColor="text1"/>
        </w:rPr>
        <w:t>Theoretical Issues in Ergonomics Science</w:t>
      </w:r>
      <w:r w:rsidRPr="000A0425">
        <w:rPr>
          <w:rFonts w:ascii="Times New Roman" w:hAnsi="Times New Roman" w:cs="Times New Roman"/>
          <w:color w:val="000000" w:themeColor="text1"/>
        </w:rPr>
        <w:t>, 14(1), 38–52. https://doi.org/10.1080/1464536X.2011.573010</w:t>
      </w:r>
    </w:p>
    <w:p w14:paraId="49910E2B"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Kosinski, M. (2024). Evaluating large language models in theory of mind tasks. </w:t>
      </w:r>
      <w:r w:rsidRPr="000A0425">
        <w:rPr>
          <w:rFonts w:ascii="Times New Roman" w:hAnsi="Times New Roman" w:cs="Times New Roman"/>
          <w:i/>
          <w:iCs/>
          <w:color w:val="000000" w:themeColor="text1"/>
        </w:rPr>
        <w:t>Proceedings of the National Academy of Sciences</w:t>
      </w:r>
      <w:r w:rsidRPr="000A0425">
        <w:rPr>
          <w:rFonts w:ascii="Times New Roman" w:hAnsi="Times New Roman" w:cs="Times New Roman"/>
          <w:color w:val="000000" w:themeColor="text1"/>
        </w:rPr>
        <w:t>, 121(45), e2405460121. https://doi.org/10.1073/pnas.2405460121</w:t>
      </w:r>
    </w:p>
    <w:p w14:paraId="49910E2C"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Li, J., &amp; Xiao, R. (2017). Agent-based modelling approach for multidimensional opinion polarization in collective behaviour. </w:t>
      </w:r>
      <w:r w:rsidRPr="000A0425">
        <w:rPr>
          <w:rFonts w:ascii="Times New Roman" w:hAnsi="Times New Roman" w:cs="Times New Roman"/>
          <w:i/>
          <w:iCs/>
          <w:color w:val="000000" w:themeColor="text1"/>
        </w:rPr>
        <w:t>Journal of Artificial Societies and Social Simulation</w:t>
      </w:r>
      <w:r w:rsidRPr="000A0425">
        <w:rPr>
          <w:rFonts w:ascii="Times New Roman" w:hAnsi="Times New Roman" w:cs="Times New Roman"/>
          <w:color w:val="000000" w:themeColor="text1"/>
        </w:rPr>
        <w:t>, 20(2), 4. https://doi.org/10.18564/jasss.3385</w:t>
      </w:r>
    </w:p>
    <w:p w14:paraId="49910E2D"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 xml:space="preserve">Mahardhika, D., Kanno, T., &amp; Furuta, K. (2016). Team cognition model based on mutual beliefs and mental subgrouping. </w:t>
      </w:r>
      <w:r w:rsidRPr="000A0425">
        <w:rPr>
          <w:rFonts w:ascii="Times New Roman" w:hAnsi="Times New Roman" w:cs="Times New Roman"/>
          <w:i/>
          <w:iCs/>
          <w:color w:val="000000" w:themeColor="text1"/>
        </w:rPr>
        <w:t>Journal of Interaction Science</w:t>
      </w:r>
      <w:r w:rsidRPr="000A0425">
        <w:rPr>
          <w:rFonts w:ascii="Times New Roman" w:hAnsi="Times New Roman" w:cs="Times New Roman"/>
          <w:color w:val="000000" w:themeColor="text1"/>
        </w:rPr>
        <w:t>, 4, 1–10. https://doi.org/10.1186/s40166-016-0014-6</w:t>
      </w:r>
    </w:p>
    <w:p w14:paraId="49910E2E"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McNeese, M., Salas, E., &amp; Endsley, M. R. (Eds.). (2020). </w:t>
      </w:r>
      <w:r w:rsidRPr="000A0425">
        <w:rPr>
          <w:rFonts w:ascii="Times New Roman" w:hAnsi="Times New Roman" w:cs="Times New Roman"/>
          <w:i/>
          <w:iCs/>
          <w:color w:val="000000" w:themeColor="text1"/>
        </w:rPr>
        <w:t>Foundations and theoretical perspectives of distributed team cognition</w:t>
      </w:r>
      <w:r w:rsidRPr="000A0425">
        <w:rPr>
          <w:rFonts w:ascii="Times New Roman" w:hAnsi="Times New Roman" w:cs="Times New Roman"/>
          <w:color w:val="000000" w:themeColor="text1"/>
        </w:rPr>
        <w:t>. Boca Raton, FL: CRC Press.</w:t>
      </w:r>
    </w:p>
    <w:p w14:paraId="49910E2F"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Mohammed, S., Hamilton, K., Tesler, R., Mancuso, V., &amp; McNeese, M. (2015). Time for temporal team mental models: Expanding beyond “what” and “how” to incorporate “when.” </w:t>
      </w:r>
      <w:r w:rsidRPr="000A0425">
        <w:rPr>
          <w:rFonts w:ascii="Times New Roman" w:hAnsi="Times New Roman" w:cs="Times New Roman"/>
          <w:i/>
          <w:iCs/>
          <w:color w:val="000000" w:themeColor="text1"/>
        </w:rPr>
        <w:t>European Journal of Work and Organizational Psychology</w:t>
      </w:r>
      <w:r w:rsidRPr="000A0425">
        <w:rPr>
          <w:rFonts w:ascii="Times New Roman" w:hAnsi="Times New Roman" w:cs="Times New Roman"/>
          <w:color w:val="000000" w:themeColor="text1"/>
        </w:rPr>
        <w:t>, 24(5), 693–709. https://doi.org/10.1080/1359432X.2015.1024664</w:t>
      </w:r>
    </w:p>
    <w:p w14:paraId="49910E30"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Nelson, T. O., &amp; Narens, L. (1994). Why investigate metacognition. In J. Metcalfe &amp; A. P. Shimamura (Eds.), </w:t>
      </w:r>
      <w:r w:rsidRPr="000A0425">
        <w:rPr>
          <w:rFonts w:ascii="Times New Roman" w:hAnsi="Times New Roman" w:cs="Times New Roman"/>
          <w:i/>
          <w:iCs/>
          <w:color w:val="000000" w:themeColor="text1"/>
        </w:rPr>
        <w:t>Metacognition: Knowing about knowing</w:t>
      </w:r>
      <w:r w:rsidRPr="000A0425">
        <w:rPr>
          <w:rFonts w:ascii="Times New Roman" w:hAnsi="Times New Roman" w:cs="Times New Roman"/>
          <w:color w:val="000000" w:themeColor="text1"/>
        </w:rPr>
        <w:t xml:space="preserve"> (pp. 1–25). Cambridge, MA: MIT Press.</w:t>
      </w:r>
    </w:p>
    <w:p w14:paraId="49910E31"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Newell, A. (1990). </w:t>
      </w:r>
      <w:r w:rsidRPr="000A0425">
        <w:rPr>
          <w:rFonts w:ascii="Times New Roman" w:hAnsi="Times New Roman" w:cs="Times New Roman"/>
          <w:i/>
          <w:iCs/>
          <w:color w:val="000000" w:themeColor="text1"/>
        </w:rPr>
        <w:t>Unified theories of cognition</w:t>
      </w:r>
      <w:r w:rsidRPr="000A0425">
        <w:rPr>
          <w:rFonts w:ascii="Times New Roman" w:hAnsi="Times New Roman" w:cs="Times New Roman"/>
          <w:color w:val="000000" w:themeColor="text1"/>
        </w:rPr>
        <w:t>. Cambridge, MA: Harvard University Press.</w:t>
      </w:r>
    </w:p>
    <w:p w14:paraId="49910E32"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Nonose, K., Kanno, T., &amp; Furuta, K. (2010). An evaluation method of team situation awareness based on mutual belief. </w:t>
      </w:r>
      <w:r w:rsidRPr="000A0425">
        <w:rPr>
          <w:rFonts w:ascii="Times New Roman" w:hAnsi="Times New Roman" w:cs="Times New Roman"/>
          <w:i/>
          <w:iCs/>
          <w:color w:val="000000" w:themeColor="text1"/>
        </w:rPr>
        <w:t>Cognition, Technology &amp; Work</w:t>
      </w:r>
      <w:r w:rsidRPr="000A0425">
        <w:rPr>
          <w:rFonts w:ascii="Times New Roman" w:hAnsi="Times New Roman" w:cs="Times New Roman"/>
          <w:color w:val="000000" w:themeColor="text1"/>
        </w:rPr>
        <w:t>, 12, 31–40. https://doi.org/10.1007/s10111-008-0127-y</w:t>
      </w:r>
    </w:p>
    <w:p w14:paraId="49910E33"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Nonose, K., Kanno, T., &amp; Furuta, K. (2014). Effects of metacognition in cooperation on team behaviors. </w:t>
      </w:r>
      <w:r w:rsidRPr="000A0425">
        <w:rPr>
          <w:rFonts w:ascii="Times New Roman" w:hAnsi="Times New Roman" w:cs="Times New Roman"/>
          <w:i/>
          <w:iCs/>
          <w:color w:val="000000" w:themeColor="text1"/>
        </w:rPr>
        <w:t>Cognition, Technology &amp; Work</w:t>
      </w:r>
      <w:r w:rsidRPr="000A0425">
        <w:rPr>
          <w:rFonts w:ascii="Times New Roman" w:hAnsi="Times New Roman" w:cs="Times New Roman"/>
          <w:color w:val="000000" w:themeColor="text1"/>
        </w:rPr>
        <w:t>, 16, 349–358. https://doi.org/10.1007/s10111-013-0265-8</w:t>
      </w:r>
    </w:p>
    <w:p w14:paraId="49910E34"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Okabe, N., Kanno, T., Cho, S., Furuta, K., Yoshida, H., Karikawa, D., Nonose, K., &amp; Inoue, S. (2025). Modeling and simulation of three-person team cooperation considering mutual beliefs. </w:t>
      </w:r>
      <w:r w:rsidRPr="000A0425">
        <w:rPr>
          <w:rFonts w:ascii="Times New Roman" w:hAnsi="Times New Roman" w:cs="Times New Roman"/>
          <w:i/>
          <w:iCs/>
          <w:color w:val="000000" w:themeColor="text1"/>
        </w:rPr>
        <w:t>Cognition, Technology &amp; Work</w:t>
      </w:r>
      <w:r w:rsidRPr="000A0425">
        <w:rPr>
          <w:rFonts w:ascii="Times New Roman" w:hAnsi="Times New Roman" w:cs="Times New Roman"/>
          <w:color w:val="000000" w:themeColor="text1"/>
        </w:rPr>
        <w:t>, 27(1), 159–179. https://doi.org/10.1007/s10111-025-00791-z</w:t>
      </w:r>
    </w:p>
    <w:p w14:paraId="49910E35"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Rousseau, R., Tremblay, S., &amp; Breton, R. (2004). Defining and modeling situation awareness: A critical review. In S. Banbury &amp; S. Tremblay (Eds.), </w:t>
      </w:r>
      <w:r w:rsidRPr="000A0425">
        <w:rPr>
          <w:rFonts w:ascii="Times New Roman" w:hAnsi="Times New Roman" w:cs="Times New Roman"/>
          <w:i/>
          <w:iCs/>
          <w:color w:val="000000" w:themeColor="text1"/>
        </w:rPr>
        <w:t>A cognitive approach to situation awareness: Theory and application</w:t>
      </w:r>
      <w:r w:rsidRPr="000A0425">
        <w:rPr>
          <w:rFonts w:ascii="Times New Roman" w:hAnsi="Times New Roman" w:cs="Times New Roman"/>
          <w:color w:val="000000" w:themeColor="text1"/>
        </w:rPr>
        <w:t xml:space="preserve"> (pp. 3–21). Aldershot, UK: Ashgate.</w:t>
      </w:r>
    </w:p>
    <w:p w14:paraId="49910E36"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Salas, E., Cooke, N. J., &amp; Rosen, M. A. (2008). On teams, teamwork, and team performance: Discoveries and developments. </w:t>
      </w:r>
      <w:r w:rsidRPr="000A0425">
        <w:rPr>
          <w:rFonts w:ascii="Times New Roman" w:hAnsi="Times New Roman" w:cs="Times New Roman"/>
          <w:i/>
          <w:iCs/>
          <w:color w:val="000000" w:themeColor="text1"/>
        </w:rPr>
        <w:t>Human Factors</w:t>
      </w:r>
      <w:r w:rsidRPr="000A0425">
        <w:rPr>
          <w:rFonts w:ascii="Times New Roman" w:hAnsi="Times New Roman" w:cs="Times New Roman"/>
          <w:color w:val="000000" w:themeColor="text1"/>
        </w:rPr>
        <w:t>, 50(3), 540–547. https://doi.org/10.1518/001872008X288457</w:t>
      </w:r>
    </w:p>
    <w:p w14:paraId="49910E37"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Salas, E., Fiore, S. M., &amp; Letsky, M. P. (Eds.). (2011). </w:t>
      </w:r>
      <w:r w:rsidRPr="000A0425">
        <w:rPr>
          <w:rFonts w:ascii="Times New Roman" w:hAnsi="Times New Roman" w:cs="Times New Roman"/>
          <w:i/>
          <w:iCs/>
          <w:color w:val="000000" w:themeColor="text1"/>
        </w:rPr>
        <w:t>Theories of team cognition: Cross-disciplinary perspectives</w:t>
      </w:r>
      <w:r w:rsidRPr="000A0425">
        <w:rPr>
          <w:rFonts w:ascii="Times New Roman" w:hAnsi="Times New Roman" w:cs="Times New Roman"/>
          <w:color w:val="000000" w:themeColor="text1"/>
        </w:rPr>
        <w:t>. New York: Routledge.</w:t>
      </w:r>
    </w:p>
    <w:p w14:paraId="49910E38"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Schelble, B. G., Flathmann, C., McNeese, N. J., O’Neill, T., Pak, R., &amp; Namara, M. (2023). Investigating the effects of perceived teammate artificiality on human performance and cognition. </w:t>
      </w:r>
      <w:r w:rsidRPr="000A0425">
        <w:rPr>
          <w:rFonts w:ascii="Times New Roman" w:hAnsi="Times New Roman" w:cs="Times New Roman"/>
          <w:i/>
          <w:iCs/>
          <w:color w:val="000000" w:themeColor="text1"/>
        </w:rPr>
        <w:t>International Journal of Human–Computer Interaction</w:t>
      </w:r>
      <w:r w:rsidRPr="000A0425">
        <w:rPr>
          <w:rFonts w:ascii="Times New Roman" w:hAnsi="Times New Roman" w:cs="Times New Roman"/>
          <w:color w:val="000000" w:themeColor="text1"/>
        </w:rPr>
        <w:t>, 39(13), 2686–2701. https://doi.org/10.1080/10447318.2022.2085191</w:t>
      </w:r>
    </w:p>
    <w:p w14:paraId="49910E39"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She, M., &amp; Li, Z. (2017). Team situation awareness: A review of definitions and conceptual models. In D. Harris (Ed.), </w:t>
      </w:r>
      <w:r w:rsidRPr="000A0425">
        <w:rPr>
          <w:rFonts w:ascii="Times New Roman" w:hAnsi="Times New Roman" w:cs="Times New Roman"/>
          <w:i/>
          <w:iCs/>
          <w:color w:val="000000" w:themeColor="text1"/>
        </w:rPr>
        <w:t>Engineering psychology and cognitive ergonomics: Performance, emotion and situation awareness (EPCE 2017), Lecture Notes in Computer Science, vol. 10275</w:t>
      </w:r>
      <w:r w:rsidRPr="000A0425">
        <w:rPr>
          <w:rFonts w:ascii="Times New Roman" w:hAnsi="Times New Roman" w:cs="Times New Roman"/>
          <w:color w:val="000000" w:themeColor="text1"/>
        </w:rPr>
        <w:t xml:space="preserve"> (pp. 406–415). Cham: Springer. https://doi.org/10.1007/978-3-319-58472-0_31</w:t>
      </w:r>
    </w:p>
    <w:p w14:paraId="49910E3A"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lastRenderedPageBreak/>
        <w:t xml:space="preserve">Tuomela, R., &amp; Miller, K. (1988). We-intentions. </w:t>
      </w:r>
      <w:r w:rsidRPr="000A0425">
        <w:rPr>
          <w:rFonts w:ascii="Times New Roman" w:hAnsi="Times New Roman" w:cs="Times New Roman"/>
          <w:i/>
          <w:iCs/>
          <w:color w:val="000000" w:themeColor="text1"/>
        </w:rPr>
        <w:t>Philosophical Studies</w:t>
      </w:r>
      <w:r w:rsidRPr="000A0425">
        <w:rPr>
          <w:rFonts w:ascii="Times New Roman" w:hAnsi="Times New Roman" w:cs="Times New Roman"/>
          <w:color w:val="000000" w:themeColor="text1"/>
        </w:rPr>
        <w:t>, 53, 367–389. https://doi.org/10.1007/BF00353512</w:t>
      </w:r>
    </w:p>
    <w:p w14:paraId="49910E3B" w14:textId="77777777" w:rsidR="003D122F" w:rsidRPr="000A0425" w:rsidRDefault="007C1A26">
      <w:pPr>
        <w:pStyle w:val="BodyText"/>
        <w:rPr>
          <w:rFonts w:ascii="Times New Roman" w:hAnsi="Times New Roman" w:cs="Times New Roman"/>
          <w:color w:val="000000" w:themeColor="text1"/>
        </w:rPr>
      </w:pPr>
      <w:r w:rsidRPr="000A0425">
        <w:rPr>
          <w:rFonts w:ascii="Times New Roman" w:hAnsi="Times New Roman" w:cs="Times New Roman"/>
          <w:color w:val="000000" w:themeColor="text1"/>
        </w:rPr>
        <w:t xml:space="preserve">Wright, J. L., Chen, J. Y. C., Barnes, M. J., &amp; Boyce, M. W. (2015). The effects of information level on human–agent interaction for route planning. </w:t>
      </w:r>
      <w:r w:rsidRPr="000A0425">
        <w:rPr>
          <w:rFonts w:ascii="Times New Roman" w:hAnsi="Times New Roman" w:cs="Times New Roman"/>
          <w:i/>
          <w:iCs/>
          <w:color w:val="000000" w:themeColor="text1"/>
        </w:rPr>
        <w:t>Proceedings of the Human Factors and Ergonomics Society Annual Meeting</w:t>
      </w:r>
      <w:r w:rsidRPr="000A0425">
        <w:rPr>
          <w:rFonts w:ascii="Times New Roman" w:hAnsi="Times New Roman" w:cs="Times New Roman"/>
          <w:color w:val="000000" w:themeColor="text1"/>
        </w:rPr>
        <w:t>, 59(1), 811–815. https://doi.org/10.1177/1541931215591247</w:t>
      </w:r>
      <w:bookmarkEnd w:id="42"/>
    </w:p>
    <w:sectPr w:rsidR="003D122F" w:rsidRPr="000A04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29CA" w14:textId="77777777" w:rsidR="007C1A26" w:rsidRDefault="007C1A26">
      <w:pPr>
        <w:spacing w:after="0"/>
      </w:pPr>
      <w:r>
        <w:separator/>
      </w:r>
    </w:p>
  </w:endnote>
  <w:endnote w:type="continuationSeparator" w:id="0">
    <w:p w14:paraId="119A2F91" w14:textId="77777777" w:rsidR="007C1A26" w:rsidRDefault="007C1A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6670F" w14:textId="77777777" w:rsidR="007C1A26" w:rsidRDefault="007C1A26">
      <w:r>
        <w:separator/>
      </w:r>
    </w:p>
  </w:footnote>
  <w:footnote w:type="continuationSeparator" w:id="0">
    <w:p w14:paraId="7C7A56DC" w14:textId="77777777" w:rsidR="007C1A26" w:rsidRDefault="007C1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5E70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B78D7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594F2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19089391">
    <w:abstractNumId w:val="0"/>
  </w:num>
  <w:num w:numId="2" w16cid:durableId="662397099">
    <w:abstractNumId w:val="1"/>
  </w:num>
  <w:num w:numId="3" w16cid:durableId="1001011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2F"/>
    <w:rsid w:val="000A0425"/>
    <w:rsid w:val="000E0D10"/>
    <w:rsid w:val="00197B96"/>
    <w:rsid w:val="00216F26"/>
    <w:rsid w:val="00233E8C"/>
    <w:rsid w:val="003D122F"/>
    <w:rsid w:val="006869F4"/>
    <w:rsid w:val="007C1A26"/>
    <w:rsid w:val="007D3600"/>
    <w:rsid w:val="007E6F12"/>
    <w:rsid w:val="008852E2"/>
    <w:rsid w:val="00B60280"/>
    <w:rsid w:val="00C43947"/>
    <w:rsid w:val="00FF7C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0CCF"/>
  <w15:docId w15:val="{4FF979D8-58BE-4FE0-BD2B-58DCC069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43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rkallur2/ab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29</Pages>
  <Words>11434</Words>
  <Characters>65179</Characters>
  <Application>Microsoft Office Word</Application>
  <DocSecurity>0</DocSecurity>
  <Lines>543</Lines>
  <Paragraphs>152</Paragraphs>
  <ScaleCrop>false</ScaleCrop>
  <Company/>
  <LinksUpToDate>false</LinksUpToDate>
  <CharactersWithSpaces>76461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Forces of Substrate Heterogeneity: Sensitivity Gain and Quality Loss in Multi-Agent Cooperative Diagnosis</dc:title>
  <dc:creator>Ravikiran Kalluri¹;Taro Kanno²</dc:creator>
  <cp:keywords/>
  <cp:lastModifiedBy>Ravi Kalluri</cp:lastModifiedBy>
  <cp:revision>2</cp:revision>
  <dcterms:created xsi:type="dcterms:W3CDTF">2026-07-06T06:44:00Z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Cooperative diagnosis in small teams — where members combine partial evidence, communicate beliefs, and coordinate on a shared understanding — has been formalized in the Extended Mutual Belief Model (EMBM) of Okabe et al. (2025), an agent-based simulation in which each of three agents maintains a stack of seven Bayesian belief networks representing self, direct beliefs about teammates, and projected beliefs about how teammates in turn model each other. A near-universal assumption of this and related recursive-mutual-belief architectures is that all agents in a team share the same inference substrate. Real cooperative teams — particularly the increasingly common human–AI teams in operational settings — typically do not. We extend EMBM with pluggable inference engines (Bayesian belief network, hidden-Markov approximation, and decision tree) and use agent-based simulation to study three-agent teams in which one agent runs a different substrate from the others, crossed with a projection-mode manipulation that varies whether agents model teammates using their own substrate (naive projection) or the teammate’s true substrate (aware projection). Across two 17-node Bayesian networks, two mismatched-substrate axes, and eight hard scenarios per network with fifteen replicate runs per cell, we find that substrate heterogeneity produces two distinct effects that must be considered jointly: a sensitivity gain, in which aware mismatched teams detect substantially more inter-agent conflicts than matched teams in every condition tested; and an inference quality loss, in which the mismatched substrate degrades single-agent diagnostic accuracy in proportion to its inferential distance from exact Bayesian propagation. The signed effect of substrate mismatch on team accuracy is the balance of these two forces, and it can favor either heterogeneity or homogeneity depending on how much the mismatched substrate deviates from exact propagation. Naive projection systematically suppresses most of the sensitivity signal, producing an illusory-agreement pathology whose severity is bounded by the underlying substrate gap. We propose a two-force account of substrate heterogeneity in recursive-mutual-belief teams. All model code, simulation runners, and results data are publicly released for replication.</vt:lpwstr>
  </property>
  <property fmtid="{D5CDD505-2E9C-101B-9397-08002B2CF9AE}" pid="3" name="affiliation">
    <vt:lpwstr/>
  </property>
  <property fmtid="{D5CDD505-2E9C-101B-9397-08002B2CF9AE}" pid="4" name="date">
    <vt:lpwstr>July 2026</vt:lpwstr>
  </property>
  <property fmtid="{D5CDD505-2E9C-101B-9397-08002B2CF9AE}" pid="5" name="GrammarlyDocumentId">
    <vt:lpwstr>96f6aebb-088c-4973-9411-fc6a3648836f</vt:lpwstr>
  </property>
</Properties>
</file>