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20"/>
        <w:jc w:val="center"/>
      </w:pPr>
      <w:r>
        <w:rPr>
          <w:rFonts w:ascii="Arial" w:hAnsi="Arial" w:eastAsia="Arial" w:cs="Arial"/>
          <w:b/>
          <w:color w:val="25282B"/>
          <w:sz w:val="22"/>
        </w:rPr>
        <w:t>5. SINIF BİLİŞİM TEKNOLOJİLERİ VE YAZILIM DERSİ</w:t>
      </w:r>
    </w:p>
    <w:p>
      <w:pPr>
        <w:widowControl/>
        <w:spacing w:after="100"/>
        <w:jc w:val="center"/>
      </w:pPr>
      <w:r>
        <w:rPr>
          <w:rFonts w:ascii="Arial" w:hAnsi="Arial" w:eastAsia="Arial" w:cs="Arial"/>
          <w:b/>
          <w:color w:val="25282B"/>
          <w:sz w:val="26"/>
        </w:rPr>
        <w:t>GÜNLÜK DERS PLANI</w:t>
      </w:r>
    </w:p>
    <w:tbl>
      <w:tblPr>
        <w:tblW w:type="auto" w:w="0"/>
        <w:jc w:val="center"/>
        <w:tblLayout w:type="fixed"/>
        <w:tblLook w:firstColumn="1" w:firstRow="1" w:lastColumn="0" w:lastRow="0" w:noHBand="0" w:noVBand="1" w:val="04A0"/>
      </w:tblPr>
      <w:tblGrid>
        <w:gridCol w:w="1757"/>
        <w:gridCol w:w="3345"/>
        <w:gridCol w:w="1927"/>
        <w:gridCol w:w="3203"/>
      </w:tblGrid>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Okul / Kurum</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Öğretmenin Adı Soyadı</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w:t>
            </w:r>
          </w:p>
        </w:tc>
      </w:tr>
      <w:tr>
        <w:trPr>
          <w:cantSplit/>
        </w:trPr>
        <w:tc>
          <w:tcPr>
            <w:tcW w:type="dxa" w:w="175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Sınıf / Şube</w:t>
            </w:r>
          </w:p>
        </w:tc>
        <w:tc>
          <w:tcPr>
            <w:tcW w:type="dxa" w:w="3345"/>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5 / ................</w:t>
            </w:r>
          </w:p>
        </w:tc>
        <w:tc>
          <w:tcPr>
            <w:tcW w:type="dxa" w:w="1927"/>
            <w:shd w:fill="F1F2F3"/>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6"/>
              </w:rPr>
              <w:t>Plan No / Hafta</w:t>
            </w:r>
          </w:p>
        </w:tc>
        <w:tc>
          <w:tcPr>
            <w:tcW w:type="dxa" w:w="3203"/>
            <w:shd w:fill="FFFFFF"/>
            <w:tcMar>
              <w:top w:w="65" w:type="dxa"/>
              <w:start w:w="85" w:type="dxa"/>
              <w:bottom w:w="65" w:type="dxa"/>
              <w:end w:w="8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6"/>
              </w:rPr>
              <w:t>4 / 4. Hafta</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 BÖLÜM: DERS BİLGİSİ</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Dersin Adı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 ve Yazılım</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Tarih / Hafta</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05 Ekim - 09 Ekim 2026 / 4. Hafta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Sınıf</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5. Sınıf</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Süre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2 ders saati (80 dakika)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Tema / Ünite</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Bilişim Teknolojilerinin Hayatımızdaki Yeri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İçerik Çerçevesi (Konu)</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Dijital Vatandaşlık Uygulamaları</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Alan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BTYAB1. Bilişim Teknolojileri Kullanma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Kavramsal Beceriler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Tema düzeyi: KB2.3. Özetleme, KB2.4. Çözümleme, KB2.8. Sorgulama. Bu hafta sınıflandırma ölçütü oluşturma, ilişkilendirme ve sorgulama öne çıkar.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Eğilimler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E2.2. Sorumluluk, E3.5. Açık Fikirlilik, E3.8. Soru Sorma</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Anahtar Kavramlar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dijital kimlik, dijital ayak izi, dijital vatandaşlık, mahremiyet, sosyal medya, dijital etik</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 Çıktısı ve</w:t>
              <w:br/>
              <w:t>Süreç Bileşenleri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7"/>
              </w:rPr>
              <w:t>BTY.5.1.3. Dijital vatandaşlık uygulamalarını sınıflandırabilme</w:t>
            </w:r>
          </w:p>
          <w:p>
            <w:pPr>
              <w:spacing w:before="0" w:after="22" w:line="245" w:lineRule="auto"/>
            </w:pPr>
            <w:r>
              <w:rPr>
                <w:rFonts w:ascii="Arial" w:hAnsi="Arial" w:eastAsia="Arial" w:cs="Arial"/>
                <w:b w:val="0"/>
                <w:color w:val="25282B"/>
                <w:sz w:val="17"/>
              </w:rPr>
              <w:t>a) Dijital kimlik kavramını belirler.</w:t>
            </w:r>
          </w:p>
          <w:p>
            <w:pPr>
              <w:spacing w:before="0" w:after="22" w:line="245" w:lineRule="auto"/>
            </w:pPr>
            <w:r>
              <w:rPr>
                <w:rFonts w:ascii="Arial" w:hAnsi="Arial" w:eastAsia="Arial" w:cs="Arial"/>
                <w:b w:val="0"/>
                <w:color w:val="25282B"/>
                <w:sz w:val="17"/>
              </w:rPr>
              <w:t>b) Dijital ayak izinin etkilerini bilişim teknolojilerinin kullanım alanları ile ilişkilendirir.</w:t>
            </w:r>
          </w:p>
          <w:p>
            <w:pPr>
              <w:spacing w:before="0" w:after="22" w:line="245" w:lineRule="auto"/>
            </w:pPr>
            <w:r>
              <w:rPr>
                <w:rFonts w:ascii="Arial" w:hAnsi="Arial" w:eastAsia="Arial" w:cs="Arial"/>
                <w:b w:val="0"/>
                <w:color w:val="25282B"/>
                <w:sz w:val="17"/>
              </w:rPr>
              <w:t>c) Dijital vatandaşlık uygulamalarını kullanım alanlarına göre gruplandırır.</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Yöntem / Teknik</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Soru-cevap, küçük grup araştırması, sınıflandırma, tartışma, poster hazırlama, kısa sunum, akran geri bildirimi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Araç-Gereç / Materyal</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Dijital vatandaşlık örnek kartları, alan başlıkları (eğitim/sosyal medya/sağlık vb.), kontrollü araştırma kaynakları, poster kâğıdı veya dijital sunum aracı, değerlendirme kontrol listesi, etkileşimli tahta/projeksiyon</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 BÖLÜM: PROGRAMLAR ARASI BİLEŞENLER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Sosyal-Duygusal Öğrenme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SDB1.2. Kendini Düzenleme (Öz Düzenleme), SDB2.1. İletişim, SDB2.3. Sosyal Farkındalık, SDB3.3. Sorumlu Karar Verme</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Değerler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D3. Çalışkanlık, D8. Mahremiyet, D16. Sorumluluk</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Okuryazarlık Becerileri</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OB2. Dijital Okuryazarlık (tema düzeyi)</w:t>
            </w:r>
          </w:p>
        </w:tc>
      </w:tr>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Beceriler Arası İlişkiler</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KB2.7. Karşılaştırma, KB2.8. Sorgulama</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III. BÖLÜM: ÖĞRENME-ÖĞRETME YAŞANTILARI</w:t>
            </w:r>
          </w:p>
        </w:tc>
      </w:tr>
    </w:tbl>
    <w:tbl>
      <w:tblPr>
        <w:tblW w:type="auto" w:w="0"/>
        <w:jc w:val="center"/>
        <w:tblLayout w:type="fixed"/>
        <w:tblLook w:firstColumn="1" w:firstRow="1" w:lastColumn="0" w:lastRow="0" w:noHBand="0" w:noVBand="1" w:val="04A0"/>
      </w:tblPr>
      <w:tblGrid>
        <w:gridCol w:w="2466"/>
        <w:gridCol w:w="7767"/>
      </w:tblGrid>
      <w:tr>
        <w:trPr>
          <w:cantSplit/>
          <w:tblHeader w:val="true"/>
        </w:trPr>
        <w:tc>
          <w:tcPr>
            <w:tcW w:type="dxa" w:w="2466"/>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Basamak / Özellik</w:t>
            </w:r>
          </w:p>
        </w:tc>
        <w:tc>
          <w:tcPr>
            <w:tcW w:type="dxa" w:w="7767"/>
            <w:shd w:fill="E7E8EA"/>
            <w:tcMar>
              <w:top w:w="68" w:type="dxa"/>
              <w:start w:w="90" w:type="dxa"/>
              <w:bottom w:w="68" w:type="dxa"/>
              <w:end w:w="90" w:type="dxa"/>
            </w:tcMar>
            <w:tcBorders>
              <w:top w:val="single" w:sz="5" w:color="8F949A"/>
              <w:left w:val="single" w:sz="5" w:color="8F949A"/>
              <w:bottom w:val="single" w:sz="5" w:color="8F949A"/>
              <w:right w:val="single" w:sz="5" w:color="8F949A"/>
            </w:tcBorders>
          </w:tcPr>
          <w:p>
            <w:pPr>
              <w:spacing w:after="0"/>
              <w:jc w:val="center"/>
            </w:pPr>
            <w:r>
              <w:rPr>
                <w:rFonts w:ascii="Arial" w:hAnsi="Arial" w:eastAsia="Arial" w:cs="Arial"/>
                <w:b/>
                <w:color w:val="25282B"/>
                <w:sz w:val="17"/>
              </w:rPr>
              <w:t>Uygulama</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Temel Kabuller</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Öğrencilerin önceki hafta dijital kimlik ve dijital ayak izi kavramlarıyla tanıştıkları; çevrim içi paylaşımların mahremiyet ve sorumluluk açısından sonuçlar doğurabileceğini fark ettikleri kabul edilir. Dijital vatandaşlık uygulamalarını kullanım alanlarına göre sistemli biçimde gruplandırma ve sınıflandırmasını gerekçelendirme konusunda rehberliğe ihtiyaç duyabilecekleri göz önünde bulundurulur.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Ön Değerlendirme Süreci</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Üç-dört kurmaca dijital uygulama/durum kartı gösterilir. Öğrenciler her kartın ne amaçla kullanıldığını, hangi alana daha çok hizmet ettiğini ve sorumlu kullanım için nelere dikkat edilmesi gerektiğini söyler. Birden fazla alanla ilişkili örneklerde farklı gerekçeler dinlenir. Böylece dijital kimlik, dijital ayak izi ve sınıflandırma ölçütlerine ilişkin hazırbulunuşluk belirlenir.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Köprü Kurma</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Günlük vatandaşlıktaki hak, sorumluluk ve başkalarının haklarını gözetme davranışları dijital ortama taşınır. “Toplum içinde sorumlu bir vatandaş nasıl davranır?” sorusu, “Dijital ortamda bunun karşılığı nedir?” sorusuyla ilişkilendirilir. Eğitim, sosyal medya/iletişim ve sağlıkla ilişkili dijital hizmetler üzerinden dijital vatandaşlığa köprü kurulur.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Öğrenme-Öğretme Uygulamaları</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22" w:line="245" w:lineRule="auto"/>
            </w:pPr>
            <w:r/>
            <w:r>
              <w:rPr>
                <w:rFonts w:ascii="Arial" w:hAnsi="Arial" w:eastAsia="Arial" w:cs="Arial"/>
                <w:b/>
                <w:color w:val="25282B"/>
                <w:sz w:val="16"/>
              </w:rPr>
              <w:t>1. DERS SAATİ (40 dk) — Dijital vatandaşlık uygulamalarını sınıflandırma</w:t>
            </w:r>
          </w:p>
          <w:p>
            <w:pPr>
              <w:spacing w:before="0" w:after="22" w:line="245" w:lineRule="auto"/>
            </w:pPr>
            <w:r>
              <w:rPr>
                <w:rFonts w:ascii="Arial" w:hAnsi="Arial" w:eastAsia="Arial" w:cs="Arial"/>
                <w:b w:val="0"/>
                <w:color w:val="25282B"/>
                <w:sz w:val="16"/>
              </w:rPr>
              <w:t>0–7 dk | Hatırlama: Dijital kimlik ve dijital ayak izi iki kurmaca örnekle hatırlatılır. “Bir uygulamayı hangi alana ait sayacağımıza nasıl karar veririz?” sorusuyla kullanım amacı, kullanıcı ihtiyacı ve yapılan işlem gibi ölçütler belirlenir.</w:t>
            </w:r>
          </w:p>
          <w:p>
            <w:pPr>
              <w:spacing w:before="0" w:after="22" w:line="245" w:lineRule="auto"/>
            </w:pPr>
            <w:r>
              <w:rPr>
                <w:rFonts w:ascii="Arial" w:hAnsi="Arial" w:eastAsia="Arial" w:cs="Arial"/>
                <w:b w:val="0"/>
                <w:color w:val="25282B"/>
                <w:sz w:val="16"/>
              </w:rPr>
              <w:t>7–15 dk | Alanları belirleme: Eğitim, sosyal medya/iletişim ve sağlık gibi programda örneklenen alanlar tanıtılır. Her alan için bir örnek incelenir; öğrenciler alan seçimini ve sorumlu kullanım davranışını gerekçelendirir.</w:t>
            </w:r>
          </w:p>
          <w:p>
            <w:pPr>
              <w:spacing w:before="0" w:after="22" w:line="245" w:lineRule="auto"/>
            </w:pPr>
            <w:r>
              <w:rPr>
                <w:rFonts w:ascii="Arial" w:hAnsi="Arial" w:eastAsia="Arial" w:cs="Arial"/>
                <w:b w:val="0"/>
                <w:color w:val="25282B"/>
                <w:sz w:val="16"/>
              </w:rPr>
              <w:t>15–30 dk | Grup araştırması: Her gruba bir alan verilir. Güvenli ve öğretmen tarafından seçilmiş kaynaklardan en az üç örnek bulunur. “Örnek – kullanım alanı – yarar – sorumluluk/mahremiyet ilkesi” tablosu doldurulur. Yapay zekâ destekli kaynak kullanılırsa bilgi başka bir güvenilir kaynakla kontrol edilir.</w:t>
            </w:r>
          </w:p>
          <w:p>
            <w:pPr>
              <w:spacing w:before="0" w:after="22" w:line="245" w:lineRule="auto"/>
            </w:pPr>
            <w:r>
              <w:rPr>
                <w:rFonts w:ascii="Arial" w:hAnsi="Arial" w:eastAsia="Arial" w:cs="Arial"/>
                <w:b w:val="0"/>
                <w:color w:val="25282B"/>
                <w:sz w:val="16"/>
              </w:rPr>
              <w:t>30–40 dk | Sınıflandırma panosu: Gruplar örneklerini alan başlıklarının altına yerleştirir. “Neden bu gruba koydunuz?” sorusuyla gerekçeler tartışılır; gerekirse sınıflandırma düzeltilir ve ortak ölçütler netleştirilir.</w:t>
            </w:r>
          </w:p>
          <w:p>
            <w:pPr>
              <w:spacing w:before="0" w:after="22" w:line="245" w:lineRule="auto"/>
            </w:pPr>
            <w:r>
              <w:rPr>
                <w:rFonts w:ascii="Arial" w:hAnsi="Arial" w:eastAsia="Arial" w:cs="Arial"/>
                <w:b/>
                <w:color w:val="25282B"/>
                <w:sz w:val="16"/>
              </w:rPr>
              <w:t>2. DERS SAATİ (40 dk) — Poster ve sunumla yapılandırma</w:t>
            </w:r>
          </w:p>
          <w:p>
            <w:pPr>
              <w:spacing w:before="0" w:after="22" w:line="245" w:lineRule="auto"/>
            </w:pPr>
            <w:r>
              <w:rPr>
                <w:rFonts w:ascii="Arial" w:hAnsi="Arial" w:eastAsia="Arial" w:cs="Arial"/>
                <w:b w:val="0"/>
                <w:color w:val="25282B"/>
                <w:sz w:val="16"/>
              </w:rPr>
              <w:t>0–8 dk | Ürün ölçütleri: Kavram doğruluğu, doğru gruplandırma, açıklayıcı gerekçe ve görsel-yazılı düzen ölçütleri belirlenir. Gerçek hesap, kullanıcı adı, fotoğraf veya kişisel veri kullanılmayacağı hatırlatılır.</w:t>
            </w:r>
          </w:p>
          <w:p>
            <w:pPr>
              <w:spacing w:before="0" w:after="22" w:line="245" w:lineRule="auto"/>
            </w:pPr>
            <w:r>
              <w:rPr>
                <w:rFonts w:ascii="Arial" w:hAnsi="Arial" w:eastAsia="Arial" w:cs="Arial"/>
                <w:b w:val="0"/>
                <w:color w:val="25282B"/>
                <w:sz w:val="16"/>
              </w:rPr>
              <w:t>8–25 dk | Poster/sunum: Gruplar en az üç dijital vatandaşlık örneğini kullanım alanı ve sorumlu/güvenli davranışla birlikte gösteren poster veya tek sayfalık dijital sunum hazırlar. Uygun örneklerde dijital kimlik/ayak izi bağlantısı bir cümleyle açıklanır.</w:t>
            </w:r>
          </w:p>
          <w:p>
            <w:pPr>
              <w:spacing w:before="0" w:after="22" w:line="245" w:lineRule="auto"/>
            </w:pPr>
            <w:r>
              <w:rPr>
                <w:rFonts w:ascii="Arial" w:hAnsi="Arial" w:eastAsia="Arial" w:cs="Arial"/>
                <w:b w:val="0"/>
                <w:color w:val="25282B"/>
                <w:sz w:val="16"/>
              </w:rPr>
              <w:t>25–35 dk | Sunum ve akran soruları: Grupların bir bölümü 1–2 dakikalık sunum yapar. Dinleyenler bir açıklayıcı soru veya yapıcı geri bildirim verir. Öğretmen öğrencileri sınıflandırma ölçütlerine dönerek hatalarını kendilerinin fark etmesine yönlendirir.</w:t>
            </w:r>
          </w:p>
          <w:p>
            <w:pPr>
              <w:spacing w:before="0" w:after="22" w:line="245" w:lineRule="auto"/>
            </w:pPr>
            <w:r>
              <w:rPr>
                <w:rFonts w:ascii="Arial" w:hAnsi="Arial" w:eastAsia="Arial" w:cs="Arial"/>
                <w:b w:val="0"/>
                <w:color w:val="25282B"/>
                <w:sz w:val="16"/>
              </w:rPr>
              <w:t>35–40 dk | Çıkış bileti: İki yeni kurmaca örnek bir kullanım alanına yerleştirilir ve biri gerekçelendirilir. Öğrenci grup katkısını kısaca öz değerlendirir. Kalan sunumlar ve kavramsal kapanış 5. haftanın ilk ders saatine bırakılır.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Destekleme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Zorlanan öğrencilere alan başlıklarının bulunduğu görsel pano ve daha az sayıda örnek kart verilebilir. “Ne işe yarıyor?”, “Kim kullanıyor?”, “Hangi sorumluluğa dikkat etmeliyiz?” cümle başlangıçları kullanılabilir. Poster için hazır düzen şablonu, sözlü açıklama ve akran desteği sunulabilir.</w:t>
            </w:r>
          </w:p>
        </w:tc>
      </w:tr>
      <w:tr>
        <w:trPr>
          <w:cantSplit/>
        </w:trPr>
        <w:tc>
          <w:tcPr>
            <w:tcW w:type="dxa" w:w="2466"/>
            <w:vAlign w:val="top"/>
            <w:shd w:fill="F1F2F3"/>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Farklılaştırma – Zenginleştirme</w:t>
            </w:r>
          </w:p>
        </w:tc>
        <w:tc>
          <w:tcPr>
            <w:tcW w:type="dxa" w:w="7767"/>
            <w:vAlign w:val="top"/>
            <w:shd w:fill="FFFFFF"/>
            <w:tcMar>
              <w:top w:w="80" w:type="dxa"/>
              <w:start w:w="95" w:type="dxa"/>
              <w:bottom w:w="80"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İleri düzey öğrenciler bir örneğin birden fazla alanla ilişkisini gerekçelendirebilir veya posterlerine “güvenli ve sorumlu kullanım için mini kılavuz” ekleyebilir. İsteğe bağlı olarak iki bilgi kaynağındaki aynı bilgiyi karşılaştırıp hangisinin daha güvenilir göründüğünü açıklayabilirler.</w:t>
            </w:r>
          </w:p>
        </w:tc>
      </w:tr>
    </w:tbl>
    <w:p>
      <w:pPr>
        <w:widowControl/>
      </w:pPr>
      <w:r>
        <w:br w:type="page"/>
      </w: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IV. BÖLÜM: ÖLÇME VE DEĞERLENDİRME / ÖĞRENME KANITLARI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90" w:type="dxa"/>
              <w:start w:w="105" w:type="dxa"/>
              <w:bottom w:w="90"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Ön değerlendirme: Kurmaca uygulama/durum kartlarının hangi alana ait olduğuna ilişkin gerekçelerle ön öğrenmeler yoklanır. Süreç değerlendirme: Uygun örnek bulma, sınıflandırma ölçütü kullanma, mahremiyet/sorumluluk boyutunu açıklama ve saygılı iletişim gözlem listesiyle izlenir. Ürün/performans: Poster veya tek sayfalık sunum; kavram doğruluğu, doğru gruplandırma, gerekçenin açıklığı ve görsel-yazılı düzen ölçütleriyle dereceli puanlama anahtarı kullanılarak değerlendirilir. Akran geri bildirimi alınır. Bireysel çıkış bileti BTY.5.1.3-c için öğrenme kanıtı oluşturur. Kalan sunumlar 5. haftanın ilk saatinde tamamlanır.</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 BÖLÜM: DERSİN DİĞER DERSLERLE İLİŞKİSİ</w:t>
            </w:r>
          </w:p>
        </w:tc>
      </w:tr>
    </w:tbl>
    <w:tbl>
      <w:tblPr>
        <w:tblW w:type="auto" w:w="0"/>
        <w:jc w:val="center"/>
        <w:tblLayout w:type="fixed"/>
        <w:tblLook w:firstColumn="1" w:firstRow="1" w:lastColumn="0" w:lastRow="0" w:noHBand="0" w:noVBand="1" w:val="04A0"/>
      </w:tblPr>
      <w:tblGrid>
        <w:gridCol w:w="10234"/>
      </w:tblGrid>
      <w:tr>
        <w:tc>
          <w:tcPr>
            <w:tcW w:type="dxa" w:w="10234"/>
            <w:shd w:fill="FFFFFF"/>
            <w:tcMar>
              <w:top w:w="85" w:type="dxa"/>
              <w:start w:w="105" w:type="dxa"/>
              <w:bottom w:w="85" w:type="dxa"/>
              <w:end w:w="10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  (TYMM 5. sınıf BTY 1. tema sayfasında bu tema için disiplinler arası ilişki ayrıca belirtilmemiştir.)</w:t>
            </w:r>
          </w:p>
        </w:tc>
      </w:tr>
    </w:tbl>
    <w:p>
      <w:pPr>
        <w:widowControl/>
        <w:spacing w:after="0"/>
      </w:pPr>
    </w:p>
    <w:tbl>
      <w:tblPr>
        <w:tblW w:type="auto" w:w="0"/>
        <w:jc w:val="center"/>
        <w:tblLayout w:type="fixed"/>
        <w:tblLook w:firstColumn="1" w:firstRow="1" w:lastColumn="0" w:lastRow="0" w:noHBand="0" w:noVBand="1" w:val="04A0"/>
      </w:tblPr>
      <w:tblGrid>
        <w:gridCol w:w="10234"/>
      </w:tblGrid>
      <w:tr>
        <w:tc>
          <w:tcPr>
            <w:tcW w:type="dxa" w:w="10234"/>
            <w:shd w:fill="D9D9D9"/>
            <w:tcMar>
              <w:top w:w="65" w:type="dxa"/>
              <w:start w:w="100" w:type="dxa"/>
              <w:bottom w:w="65" w:type="dxa"/>
              <w:end w:w="100" w:type="dxa"/>
            </w:tcMar>
            <w:tcBorders>
              <w:top w:val="single" w:sz="5" w:color="8F949A"/>
              <w:left w:val="single" w:sz="5" w:color="8F949A"/>
              <w:bottom w:val="single" w:sz="5" w:color="8F949A"/>
              <w:right w:val="single" w:sz="5" w:color="8F949A"/>
            </w:tcBorders>
          </w:tcPr>
          <w:p>
            <w:pPr>
              <w:spacing w:after="0"/>
            </w:pPr>
            <w:r>
              <w:rPr>
                <w:rFonts w:ascii="Arial" w:hAnsi="Arial" w:eastAsia="Arial" w:cs="Arial"/>
                <w:b/>
                <w:color w:val="25282B"/>
                <w:sz w:val="18"/>
              </w:rPr>
              <w:t>VI. BÖLÜM: PLANIN UYGULANMASIYLA İLGİLİ DİĞER AÇIKLAMALAR</w:t>
            </w:r>
          </w:p>
        </w:tc>
      </w:tr>
    </w:tbl>
    <w:tbl>
      <w:tblPr>
        <w:tblW w:type="auto" w:w="0"/>
        <w:jc w:val="center"/>
        <w:tblLayout w:type="fixed"/>
        <w:tblLook w:firstColumn="1" w:firstRow="1" w:lastColumn="0" w:lastRow="0" w:noHBand="0" w:noVBand="1" w:val="04A0"/>
      </w:tblPr>
      <w:tblGrid>
        <w:gridCol w:w="2523"/>
        <w:gridCol w:w="7711"/>
      </w:tblGrid>
      <w:tr>
        <w:trPr>
          <w:cantSplit/>
        </w:trPr>
        <w:tc>
          <w:tcPr>
            <w:tcW w:type="dxa" w:w="2523"/>
            <w:vAlign w:val="top"/>
            <w:shd w:fill="F1F2F3"/>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color w:val="25282B"/>
                <w:sz w:val="17"/>
              </w:rPr>
              <w:t>Uygulama Notları</w:t>
            </w:r>
          </w:p>
        </w:tc>
        <w:tc>
          <w:tcPr>
            <w:tcW w:type="dxa" w:w="7711"/>
            <w:vAlign w:val="top"/>
            <w:shd w:fill="FFFFFF"/>
            <w:tcMar>
              <w:top w:w="72" w:type="dxa"/>
              <w:start w:w="95" w:type="dxa"/>
              <w:bottom w:w="72" w:type="dxa"/>
              <w:end w:w="95" w:type="dxa"/>
            </w:tcMar>
            <w:tcBorders>
              <w:top w:val="single" w:sz="4" w:color="B7BCC2"/>
              <w:left w:val="single" w:sz="4" w:color="B7BCC2"/>
              <w:bottom w:val="single" w:sz="4" w:color="B7BCC2"/>
              <w:right w:val="single" w:sz="4" w:color="B7BCC2"/>
            </w:tcBorders>
          </w:tcPr>
          <w:p>
            <w:pPr>
              <w:spacing w:before="0" w:after="0" w:line="245" w:lineRule="auto"/>
            </w:pPr>
            <w:r/>
            <w:r>
              <w:rPr>
                <w:rFonts w:ascii="Arial" w:hAnsi="Arial" w:eastAsia="Arial" w:cs="Arial"/>
                <w:b w:val="0"/>
                <w:color w:val="25282B"/>
                <w:sz w:val="17"/>
              </w:rPr>
              <w:t>Gerçek kullanıcı hesabı, parola, telefon numarası, fotoğraf, mesaj veya öğrenciyi tanımlayabilecek kişisel veri kullanılmaz; kurmaca örnekler tercih edilir. İnternet yoksa basılı kaynak ve kartlarla çalışılır. Yapay zekâ destekli kaynak kullanılacaksa öğretmen gözetiminde ve sınırlı biçimde kullanılır; bilgi başka bir güvenilir kaynakla karşılaştırılır. Kalan grup sunumları ve BTY.5.1.3 kapanışı 5. haftanın ilk ders saatinde tamamlanır.</w:t>
            </w:r>
          </w:p>
        </w:tc>
      </w:tr>
    </w:tbl>
    <w:p>
      <w:pPr>
        <w:widowControl/>
        <w:spacing w:after="20"/>
      </w:pPr>
    </w:p>
    <w:tbl>
      <w:tblPr>
        <w:tblW w:type="auto" w:w="0"/>
        <w:jc w:val="center"/>
        <w:tblLayout w:type="fixed"/>
        <w:tblLook w:firstColumn="1" w:firstRow="1" w:lastColumn="0" w:lastRow="0" w:noHBand="0" w:noVBand="1" w:val="04A0"/>
      </w:tblPr>
      <w:tblGrid>
        <w:gridCol w:w="5103"/>
        <w:gridCol w:w="5131"/>
      </w:tblGrid>
      <w:tr>
        <w:tc>
          <w:tcPr>
            <w:tcW w:type="dxa" w:w="5103"/>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Bilgisayar ve Öğretim Teknolojileri Öğretmeni</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c>
          <w:tcPr>
            <w:tcW w:type="dxa" w:w="5131"/>
            <w:shd w:fill="FFFFFF"/>
            <w:tcMar>
              <w:top w:w="140" w:type="dxa"/>
              <w:start w:w="100" w:type="dxa"/>
              <w:bottom w:w="30" w:type="dxa"/>
              <w:end w:w="100" w:type="dxa"/>
            </w:tcMar>
            <w:tcBorders>
              <w:top w:val="nil"/>
              <w:left w:val="nil"/>
              <w:bottom w:val="nil"/>
              <w:right w:val="nil"/>
            </w:tcBorders>
          </w:tcPr>
          <w:p>
            <w:pPr>
              <w:spacing w:after="0"/>
              <w:jc w:val="center"/>
            </w:pPr>
            <w:r/>
            <w:r>
              <w:rPr>
                <w:rFonts w:ascii="Arial" w:hAnsi="Arial" w:eastAsia="Arial" w:cs="Arial"/>
                <w:b/>
                <w:color w:val="25282B"/>
                <w:sz w:val="17"/>
              </w:rPr>
              <w:t>Uygundur</w:t>
            </w:r>
          </w:p>
          <w:p>
            <w:pPr>
              <w:spacing w:after="0"/>
              <w:jc w:val="center"/>
            </w:pPr>
            <w:r>
              <w:rPr>
                <w:rFonts w:ascii="Arial" w:hAnsi="Arial" w:eastAsia="Arial" w:cs="Arial"/>
                <w:b/>
                <w:color w:val="25282B"/>
                <w:sz w:val="17"/>
              </w:rPr>
              <w:t>Okul Müdürü</w:t>
            </w:r>
          </w:p>
          <w:p>
            <w:pPr>
              <w:spacing w:after="0"/>
              <w:jc w:val="center"/>
            </w:pPr>
            <w:r>
              <w:rPr>
                <w:rFonts w:ascii="Arial" w:hAnsi="Arial" w:eastAsia="Arial" w:cs="Arial"/>
                <w:b w:val="0"/>
                <w:color w:val="25282B"/>
                <w:sz w:val="16"/>
              </w:rPr>
              <w:t>Ad Soyad: ........................................</w:t>
            </w:r>
          </w:p>
          <w:p>
            <w:pPr>
              <w:spacing w:after="0"/>
              <w:jc w:val="center"/>
            </w:pPr>
            <w:r>
              <w:rPr>
                <w:rFonts w:ascii="Arial" w:hAnsi="Arial" w:eastAsia="Arial" w:cs="Arial"/>
                <w:b w:val="0"/>
                <w:color w:val="25282B"/>
                <w:sz w:val="16"/>
              </w:rPr>
              <w:t>İmza: ................................................</w:t>
            </w:r>
          </w:p>
        </w:tc>
      </w:tr>
    </w:tbl>
    <w:sectPr w:rsidR="00FC693F" w:rsidRPr="0006063C" w:rsidSect="00034616">
      <w:headerReference w:type="default" r:id="rId9"/>
      <w:footerReference w:type="default" r:id="rId10"/>
      <w:pgSz w:w="12240" w:h="15840"/>
      <w:pgMar w:top="595" w:right="709" w:bottom="595" w:left="709" w:header="227" w:footer="25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Arial" w:hAnsi="Arial" w:eastAsia="Arial" w:cs="Arial"/>
        <w:b w:val="0"/>
        <w:color w:val="777777"/>
        <w:sz w:val="14"/>
      </w:rPr>
      <w:t>5. Sınıf Bilişim Teknolojileri ve Yazılım • 4. Hafta Ders Planı</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Arial" w:hAnsi="Arial" w:eastAsia="Arial" w:cs="Arial"/>
        <w:b/>
        <w:color w:val="666666"/>
        <w:sz w:val="15"/>
      </w:rPr>
      <w:t>2026-2027 EĞİTİM – ÖĞRETİM YILI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