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33"/>
        <w:gridCol w:w="3942"/>
      </w:tblGrid>
      <w:tr>
        <w:tc>
          <w:tcPr>
            <w:tcW w:type="dxa" w:w="643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color w:val="8F1D2C"/>
                <w:sz w:val="16"/>
              </w:rPr>
              <w:t>KESKİNLAB  ·  6. SINIF BTY  ·  HAFTA 02</w:t>
            </w:r>
          </w:p>
        </w:tc>
        <w:tc>
          <w:tcPr>
            <w:tcW w:type="dxa" w:w="394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" w:hAnsi="DejaVu Sans" w:eastAsia="DejaVu Sans"/>
                <w:b/>
                <w:color w:val="5C6067"/>
                <w:sz w:val="16"/>
              </w:rPr>
              <w:t>ÖĞRETMEN UYGULAMA KILAVUZU</w:t>
            </w:r>
          </w:p>
        </w:tc>
      </w:tr>
    </w:tbl>
    <w:p>
      <w:pPr>
        <w:pStyle w:val="Title"/>
        <w:spacing w:before="0" w:after="0" w:line="252" w:lineRule="auto"/>
      </w:pPr>
      <w:r>
        <w:rPr>
          <w:rFonts w:ascii="DejaVu Sans" w:hAnsi="DejaVu Sans" w:eastAsia="DejaVu Sans"/>
          <w:b/>
          <w:color w:val="000000"/>
          <w:sz w:val="40"/>
        </w:rPr>
        <w:t>Bilişim Teknolojilerinin Geleceği Öğretmen Uygulama Kılavuzu</w:t>
      </w:r>
    </w:p>
    <w:p>
      <w:pPr>
        <w:spacing w:before="0" w:after="0" w:line="252" w:lineRule="auto"/>
      </w:pPr>
      <w:r>
        <w:rPr>
          <w:rFonts w:ascii="DejaVu Sans" w:hAnsi="DejaVu Sans" w:eastAsia="DejaVu Sans"/>
          <w:b w:val="0"/>
          <w:color w:val="5C6067"/>
          <w:sz w:val="19"/>
        </w:rPr>
        <w:t>Bu kılavuz, BTY.6.1.2 öğrenme çıktısını iki ders saatinde geçmişten kanıt toplama, değişim örüntüsü çıkarma ve toplum yararına gelecek önermesi geliştirme akışıyla uygular.</w:t>
      </w:r>
    </w:p>
    <w:p>
      <w:pPr>
        <w:spacing w:before="0" w:after="0" w:line="252" w:lineRule="auto"/>
      </w:pPr>
      <w:r>
        <w:rPr>
          <w:rFonts w:ascii="DejaVu Sans" w:hAnsi="DejaVu Sans" w:eastAsia="DejaVu Sans"/>
          <w:b/>
          <w:color w:val="681622"/>
          <w:sz w:val="22"/>
        </w:rPr>
        <w:t>Öğrenme çıktısı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DejaVu Sans" w:hAnsi="DejaVu Sans" w:eastAsia="DejaVu Sans"/>
          <w:b w:val="0"/>
          <w:color w:val="171717"/>
          <w:sz w:val="18"/>
        </w:rPr>
        <w:t>BTY.6.1.2 Bilişim teknolojisinin gelecekteki durumlarına yönelik çıkarım yapabilme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DejaVu Sans" w:hAnsi="DejaVu Sans" w:eastAsia="DejaVu Sans"/>
          <w:b w:val="0"/>
          <w:color w:val="171717"/>
          <w:sz w:val="18"/>
        </w:rPr>
        <w:t>Gelişimden hareketle varsayım kurma, örüntüleri listeleme, karşılaştırma, toplumsal etkiye ilişkin önerme geliştirme ve etkiyi değerlendirme</w:t>
      </w:r>
    </w:p>
    <w:p>
      <w:pPr>
        <w:spacing w:before="0" w:after="0" w:line="252" w:lineRule="auto"/>
      </w:pPr>
      <w:r>
        <w:rPr>
          <w:rFonts w:ascii="DejaVu Sans" w:hAnsi="DejaVu Sans" w:eastAsia="DejaVu Sans"/>
          <w:b/>
          <w:color w:val="681622"/>
          <w:sz w:val="22"/>
        </w:rPr>
        <w:t>Hazırlık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DejaVu Sans" w:hAnsi="DejaVu Sans" w:eastAsia="DejaVu Sans"/>
          <w:b w:val="0"/>
          <w:color w:val="171717"/>
          <w:sz w:val="18"/>
        </w:rPr>
        <w:t>Eski bir bilgisayar veya cep telefonu; yoksa 01 ve 02 numaralı görseller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DejaVu Sans" w:hAnsi="DejaVu Sans" w:eastAsia="DejaVu Sans"/>
          <w:b w:val="0"/>
          <w:color w:val="171717"/>
          <w:sz w:val="18"/>
        </w:rPr>
        <w:t>Her grup için Grup Araştırma ve Gelecek Afişi; her değerlendiren için rubrik ve akran değerlendirme formu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DejaVu Sans" w:hAnsi="DejaVu Sans" w:eastAsia="DejaVu Sans"/>
          <w:b w:val="0"/>
          <w:color w:val="171717"/>
          <w:sz w:val="18"/>
        </w:rPr>
        <w:t>İmkân varsa kısa araştırma için güvenilir kaynak erişimi; yoksa öğretmenin önceden hazırladığı bilgi kartları</w:t>
      </w:r>
    </w:p>
    <w:p>
      <w:pPr>
        <w:spacing w:before="0" w:after="0" w:line="252" w:lineRule="auto"/>
      </w:pPr>
      <w:r>
        <w:rPr>
          <w:rFonts w:ascii="DejaVu Sans" w:hAnsi="DejaVu Sans" w:eastAsia="DejaVu Sans"/>
          <w:b/>
          <w:color w:val="681622"/>
          <w:sz w:val="22"/>
        </w:rPr>
        <w:t>Birinci ders saati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2594"/>
            <w:shd w:fill="8F1D2C"/>
            <w:tcBorders>
              <w:top w:val="single" w:sz="8" w:color="8F1D2C"/>
              <w:left w:val="single" w:sz="8" w:color="8F1D2C"/>
              <w:bottom w:val="single" w:sz="8" w:color="8F1D2C"/>
              <w:right w:val="single" w:sz="8" w:color="8F1D2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Süre</w:t>
            </w:r>
          </w:p>
        </w:tc>
        <w:tc>
          <w:tcPr>
            <w:tcW w:type="dxa" w:w="2594"/>
            <w:shd w:fill="8F1D2C"/>
            <w:tcBorders>
              <w:top w:val="single" w:sz="8" w:color="8F1D2C"/>
              <w:left w:val="single" w:sz="8" w:color="8F1D2C"/>
              <w:bottom w:val="single" w:sz="8" w:color="8F1D2C"/>
              <w:right w:val="single" w:sz="8" w:color="8F1D2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Ekran</w:t>
            </w:r>
          </w:p>
        </w:tc>
        <w:tc>
          <w:tcPr>
            <w:tcW w:type="dxa" w:w="2594"/>
            <w:shd w:fill="8F1D2C"/>
            <w:tcBorders>
              <w:top w:val="single" w:sz="8" w:color="8F1D2C"/>
              <w:left w:val="single" w:sz="8" w:color="8F1D2C"/>
              <w:bottom w:val="single" w:sz="8" w:color="8F1D2C"/>
              <w:right w:val="single" w:sz="8" w:color="8F1D2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Öğrenme işi</w:t>
            </w:r>
          </w:p>
        </w:tc>
        <w:tc>
          <w:tcPr>
            <w:tcW w:type="dxa" w:w="2594"/>
            <w:shd w:fill="8F1D2C"/>
            <w:tcBorders>
              <w:top w:val="single" w:sz="8" w:color="8F1D2C"/>
              <w:left w:val="single" w:sz="8" w:color="8F1D2C"/>
              <w:bottom w:val="single" w:sz="8" w:color="8F1D2C"/>
              <w:right w:val="single" w:sz="8" w:color="8F1D2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Kanıt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color w:val="171717"/>
                <w:sz w:val="16"/>
              </w:rPr>
              <w:t>0–8 dk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01–04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Eski cihazı inceletin; ilk bilgisayarlarla güncel cihazları karşılaştırın. Alan Turing’in katkısını tartışın.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Sözlü karşılaştırma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color w:val="171717"/>
                <w:sz w:val="16"/>
              </w:rPr>
              <w:t>8–20 dk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05–08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Bilgisayar, internet ve telefon zaman çizgilerini okuyun. Ortak değişim yönlerini görünür kılın.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Örüntü listesi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color w:val="171717"/>
                <w:sz w:val="16"/>
              </w:rPr>
              <w:t>20–32 dk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09–12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Gruplar bir teknoloji seçsin; geçmiş, bugün ve geleceği kanıta dayalı biçimde ilişkilendirsin.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Gerekçeli çıkarım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color w:val="171717"/>
                <w:sz w:val="16"/>
              </w:rPr>
              <w:t>32–40 dk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11–12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Gruplar buldukları örüntüleri karşılaştırsın ve gelecek önermelerini düzeltsin.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Revize önerme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33"/>
        <w:gridCol w:w="3942"/>
      </w:tblGrid>
      <w:tr>
        <w:tc>
          <w:tcPr>
            <w:tcW w:type="dxa" w:w="643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color w:val="8F1D2C"/>
                <w:sz w:val="16"/>
              </w:rPr>
              <w:t>KESKİNLAB  ·  6. SINIF BTY  ·  HAFTA 02</w:t>
            </w:r>
          </w:p>
        </w:tc>
        <w:tc>
          <w:tcPr>
            <w:tcW w:type="dxa" w:w="394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" w:hAnsi="DejaVu Sans" w:eastAsia="DejaVu Sans"/>
                <w:b/>
                <w:color w:val="5C6067"/>
                <w:sz w:val="16"/>
              </w:rPr>
              <w:t>ÖĞRETMEN UYGULAMA KILAVUZU</w:t>
            </w:r>
          </w:p>
        </w:tc>
      </w:tr>
    </w:tbl>
    <w:p>
      <w:pPr>
        <w:spacing w:before="0" w:after="0" w:line="252" w:lineRule="auto"/>
      </w:pPr>
      <w:r>
        <w:rPr>
          <w:rFonts w:ascii="DejaVu Sans" w:hAnsi="DejaVu Sans" w:eastAsia="DejaVu Sans"/>
          <w:b/>
          <w:color w:val="681622"/>
          <w:sz w:val="22"/>
        </w:rPr>
        <w:t>İkinci ders saati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2594"/>
            <w:shd w:fill="8F1D2C"/>
            <w:tcBorders>
              <w:top w:val="single" w:sz="8" w:color="8F1D2C"/>
              <w:left w:val="single" w:sz="8" w:color="8F1D2C"/>
              <w:bottom w:val="single" w:sz="8" w:color="8F1D2C"/>
              <w:right w:val="single" w:sz="8" w:color="8F1D2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Süre</w:t>
            </w:r>
          </w:p>
        </w:tc>
        <w:tc>
          <w:tcPr>
            <w:tcW w:type="dxa" w:w="2594"/>
            <w:shd w:fill="8F1D2C"/>
            <w:tcBorders>
              <w:top w:val="single" w:sz="8" w:color="8F1D2C"/>
              <w:left w:val="single" w:sz="8" w:color="8F1D2C"/>
              <w:bottom w:val="single" w:sz="8" w:color="8F1D2C"/>
              <w:right w:val="single" w:sz="8" w:color="8F1D2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Ekran</w:t>
            </w:r>
          </w:p>
        </w:tc>
        <w:tc>
          <w:tcPr>
            <w:tcW w:type="dxa" w:w="2594"/>
            <w:shd w:fill="8F1D2C"/>
            <w:tcBorders>
              <w:top w:val="single" w:sz="8" w:color="8F1D2C"/>
              <w:left w:val="single" w:sz="8" w:color="8F1D2C"/>
              <w:bottom w:val="single" w:sz="8" w:color="8F1D2C"/>
              <w:right w:val="single" w:sz="8" w:color="8F1D2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Öğrenme işi</w:t>
            </w:r>
          </w:p>
        </w:tc>
        <w:tc>
          <w:tcPr>
            <w:tcW w:type="dxa" w:w="2594"/>
            <w:shd w:fill="8F1D2C"/>
            <w:tcBorders>
              <w:top w:val="single" w:sz="8" w:color="8F1D2C"/>
              <w:left w:val="single" w:sz="8" w:color="8F1D2C"/>
              <w:bottom w:val="single" w:sz="8" w:color="8F1D2C"/>
              <w:right w:val="single" w:sz="8" w:color="8F1D2C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Kanıt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color w:val="171717"/>
                <w:sz w:val="16"/>
              </w:rPr>
              <w:t>0–10 dk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13–15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Robot, sanal gerçeklik ve diğer yenilikleri yarar ve riskleriyle tartıştırın.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Yarar risk notu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color w:val="171717"/>
                <w:sz w:val="16"/>
              </w:rPr>
              <w:t>10–22 dk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16–19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Eğitim, iş ve sosyal yaşam dönüşümlerini toplumsal, kültürel ve ekonomik pencerelerden inceletin.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Üç etki açıklaması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color w:val="171717"/>
                <w:sz w:val="16"/>
              </w:rPr>
              <w:t>22–33 dk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20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Gruplar çevreyi koruyan veya yaşlı bireylerin yaşamını kolaylaştıran teknoloji tasarlasın.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Toplum yararı fikri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/>
                <w:color w:val="171717"/>
                <w:sz w:val="16"/>
              </w:rPr>
              <w:t>33–40 dk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21–22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Ürünleri sergileyin; akran değerlendirmesi ve öğretmen rubriğiyle geri bildirim verin.</w:t>
            </w:r>
          </w:p>
        </w:tc>
        <w:tc>
          <w:tcPr>
            <w:tcW w:type="dxa" w:w="2594"/>
            <w:tcBorders>
              <w:top w:val="single" w:sz="8" w:color="D8D2CE"/>
              <w:left w:val="single" w:sz="8" w:color="D8D2CE"/>
              <w:bottom w:val="single" w:sz="8" w:color="D8D2CE"/>
              <w:right w:val="single" w:sz="8" w:color="D8D2CE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BF8F5"/>
          </w:tcPr>
          <w:p>
            <w:pPr>
              <w:spacing w:before="0" w:after="0" w:line="252" w:lineRule="auto"/>
            </w:pPr>
            <w:r>
              <w:rPr>
                <w:rFonts w:ascii="DejaVu Sans" w:hAnsi="DejaVu Sans" w:eastAsia="DejaVu Sans"/>
                <w:b w:val="0"/>
                <w:color w:val="171717"/>
                <w:sz w:val="16"/>
              </w:rPr>
              <w:t>Afiş sunumu ve rubrik</w:t>
            </w:r>
          </w:p>
        </w:tc>
      </w:tr>
    </w:tbl>
    <w:p>
      <w:pPr>
        <w:spacing w:before="0" w:after="0" w:line="252" w:lineRule="auto"/>
      </w:pPr>
      <w:r>
        <w:rPr>
          <w:rFonts w:ascii="DejaVu Sans" w:hAnsi="DejaVu Sans" w:eastAsia="DejaVu Sans"/>
          <w:b/>
          <w:color w:val="681622"/>
          <w:sz w:val="22"/>
        </w:rPr>
        <w:t>Öğretmen yönlendirmeleri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DejaVu Sans" w:hAnsi="DejaVu Sans" w:eastAsia="DejaVu Sans"/>
          <w:b w:val="0"/>
          <w:color w:val="171717"/>
          <w:sz w:val="18"/>
        </w:rPr>
        <w:t>Öğrencinin yalnızca tahmin söylemesine izin vermeyin; her gelecek ifadesinin geçmişten veya bugünden bir kanıta bağlanmasını isteyin.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DejaVu Sans" w:hAnsi="DejaVu Sans" w:eastAsia="DejaVu Sans"/>
          <w:b w:val="0"/>
          <w:color w:val="171717"/>
          <w:sz w:val="18"/>
        </w:rPr>
        <w:t>Olumlu ve olumsuz etkileri birlikte ele alın. Teknolojiyi bütünüyle iyi veya kötü ilan eden genellemeleri gerekçeyle yeniden düşündürün.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DejaVu Sans" w:hAnsi="DejaVu Sans" w:eastAsia="DejaVu Sans"/>
          <w:b w:val="0"/>
          <w:color w:val="171717"/>
          <w:sz w:val="18"/>
        </w:rPr>
        <w:t>Araştırma, afiş veya dijital ürün seçeneklerinden birini kullandırın; aynı ölçütlerle değerlendirilebilir olmasını sağlayın.</w:t>
      </w:r>
    </w:p>
    <w:p>
      <w:pPr>
        <w:spacing w:before="0" w:after="0" w:line="252" w:lineRule="auto"/>
      </w:pPr>
      <w:r>
        <w:rPr>
          <w:rFonts w:ascii="DejaVu Sans" w:hAnsi="DejaVu Sans" w:eastAsia="DejaVu Sans"/>
          <w:b/>
          <w:color w:val="681622"/>
          <w:sz w:val="22"/>
        </w:rPr>
        <w:t>Değerlendirme kanıtı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DejaVu Sans" w:hAnsi="DejaVu Sans" w:eastAsia="DejaVu Sans"/>
          <w:b w:val="0"/>
          <w:color w:val="171717"/>
          <w:sz w:val="18"/>
        </w:rPr>
        <w:t>Örüntü listesi, geçmiş bugün gelecek bağlantısı, gerekçeli gelecek önermesi, üç etki alanı ve toplum yararı ölçütleri rubrikte birlikte izlenir.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DejaVu Sans" w:hAnsi="DejaVu Sans" w:eastAsia="DejaVu Sans"/>
          <w:b w:val="0"/>
          <w:color w:val="171717"/>
          <w:sz w:val="18"/>
        </w:rPr>
        <w:t>Süreç sonunda öğrenci şu cümleyi tamamlayabilmelidir: Bu değişim sürerse gelecekte … olabilir; çünkü …</w:t>
      </w:r>
    </w:p>
    <w:p>
      <w:pPr>
        <w:spacing w:before="0" w:after="0" w:line="252" w:lineRule="auto"/>
      </w:pPr>
      <w:r>
        <w:rPr>
          <w:rFonts w:ascii="DejaVu Sans" w:hAnsi="DejaVu Sans" w:eastAsia="DejaVu Sans"/>
          <w:b/>
          <w:color w:val="681622"/>
          <w:sz w:val="22"/>
        </w:rPr>
        <w:t>TYMM bütünlük kontrolü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DejaVu Sans" w:hAnsi="DejaVu Sans" w:eastAsia="DejaVu Sans"/>
          <w:b w:val="0"/>
          <w:color w:val="171717"/>
          <w:sz w:val="18"/>
        </w:rPr>
        <w:t>Eski cihaz ve bilim insanı tartışması; zaman çizelgesi; grup araştırması; örüntü karşılaştırması; gelecek senaryoları; eğitim, iş ve sosyal yaşam etkileri; toplum yararı tasarımı; performans ürünü; akran ve öğretmen değerlendirmesi akışta yer alır.</w:t>
      </w:r>
    </w:p>
    <w:sectPr w:rsidR="00FC693F" w:rsidRPr="0006063C" w:rsidSect="00034616">
      <w:footerReference w:type="default" r:id="rId9"/>
      <w:pgSz w:w="11906" w:h="16838"/>
      <w:pgMar w:top="567" w:right="765" w:bottom="482" w:left="765" w:header="170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2" w:lineRule="auto"/>
      <w:jc w:val="center"/>
    </w:pPr>
    <w:r>
      <w:rPr>
        <w:rFonts w:ascii="DejaVu Sans" w:hAnsi="DejaVu Sans" w:eastAsia="DejaVu Sans"/>
        <w:b w:val="0"/>
        <w:color w:val="5C6067"/>
        <w:sz w:val="14"/>
      </w:rPr>
      <w:t>BTY.6.1.2  ·  Hafta 02  ·  Öğretmen Kılavuzu  ·  KeskinLab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DejaVu Sans" w:hAnsi="DejaVu Sans" w:eastAsia="DejaVu Sans"/>
      <w:color w:val="17171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