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4"/>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Okul / Kurum</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Öğretmenin Adı Soyadı</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r>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Sınıf / Şube</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Plan No / Hafta</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14 / 14.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Dersin Adı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Seçmeli Robotik Kodlama-I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Tarih</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21-25 Aralık 2026</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 ders saati (40 + 40 dakika)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RK.1.3. Robotik Kodlama Ortamları</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3.1 Blok Kodlama (mBlock) - Olaylar Blokları</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Kazanımlar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RK.1.3.1. Blok Tabanlı Geliştirme Ortamları</w:t>
              <w:br/>
              <w:t>RK.1.3.1.3. Blok tabanlı geliştirme ortamının arayüzünü tanır.</w:t>
              <w:br/>
              <w:t>RK.1.3.1.4. Blok tabanlı geliştirme ortamına ait algılayıcıları ayırt eder.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Resmî Kazanım Açıklamaları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RK.1.3.1.4: Algılayıcıların türlerine (dijital/analog) ve çalışma mantıklarına değinilir.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Açıklaması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ünitede öğrencilerin robotik kodlama uygulaması geliştirmek için gerekli olan çevrim içi ortamlara erişim sağlamaları, çevrim dışı ortamları kurabilmeleri, ortamlara ait tüm bileşenler ile farklı tür algılayıcıları tanımaları ve benzetim ortamlarını açıklamaları amaçlanmaktadır.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İçin Önerilen 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20 ders saati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Yıllık Plandaki Etkinlik / Açıklama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mBlock uygulamasındaki olaylar bloklarının işlevleri anlatılır. • "Uçak Uçuyor" ve "Meslekler" etkinliği yapılır.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Programda Yer Alan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Problem çözme</w:t>
            </w:r>
          </w:p>
          <w:p>
            <w:pPr>
              <w:spacing w:after="20" w:line="242" w:lineRule="auto"/>
              <w:ind w:left="68" w:hanging="68"/>
            </w:pPr>
            <w:r>
              <w:rPr>
                <w:rFonts w:ascii="Arial" w:hAnsi="Arial" w:eastAsia="Arial"/>
                <w:b w:val="0"/>
                <w:color w:val="111111"/>
                <w:sz w:val="17"/>
              </w:rPr>
              <w:t>• Algoritmik düşünme</w:t>
            </w:r>
          </w:p>
          <w:p>
            <w:pPr>
              <w:spacing w:after="20" w:line="242" w:lineRule="auto"/>
              <w:ind w:left="68" w:hanging="68"/>
            </w:pPr>
            <w:r>
              <w:rPr>
                <w:rFonts w:ascii="Arial" w:hAnsi="Arial" w:eastAsia="Arial"/>
                <w:b w:val="0"/>
                <w:color w:val="111111"/>
                <w:sz w:val="17"/>
              </w:rPr>
              <w:t>• Özgün düşünme</w:t>
            </w:r>
          </w:p>
          <w:p>
            <w:pPr>
              <w:spacing w:after="20" w:line="242" w:lineRule="auto"/>
              <w:ind w:left="68" w:hanging="68"/>
            </w:pPr>
            <w:r>
              <w:rPr>
                <w:rFonts w:ascii="Arial" w:hAnsi="Arial" w:eastAsia="Arial"/>
                <w:b w:val="0"/>
                <w:color w:val="111111"/>
                <w:sz w:val="17"/>
              </w:rPr>
              <w:t>• İş birlikli çalışma</w:t>
            </w:r>
          </w:p>
          <w:p>
            <w:pPr>
              <w:spacing w:after="20" w:line="242" w:lineRule="auto"/>
              <w:ind w:left="68" w:hanging="68"/>
            </w:pPr>
            <w:r>
              <w:rPr>
                <w:rFonts w:ascii="Arial" w:hAnsi="Arial" w:eastAsia="Arial"/>
                <w:b w:val="0"/>
                <w:color w:val="111111"/>
                <w:sz w:val="17"/>
              </w:rPr>
              <w:t>• Analitik düşünme</w:t>
            </w:r>
          </w:p>
          <w:p>
            <w:pPr>
              <w:spacing w:after="20" w:line="242" w:lineRule="auto"/>
              <w:ind w:left="68" w:hanging="68"/>
            </w:pPr>
            <w:r>
              <w:rPr>
                <w:rFonts w:ascii="Arial" w:hAnsi="Arial" w:eastAsia="Arial"/>
                <w:b w:val="0"/>
                <w:color w:val="111111"/>
                <w:sz w:val="17"/>
              </w:rPr>
              <w:t>• Proje geliştirme</w:t>
            </w:r>
          </w:p>
          <w:p>
            <w:pPr>
              <w:spacing w:after="20" w:line="242" w:lineRule="auto"/>
              <w:ind w:left="68" w:hanging="68"/>
            </w:pPr>
            <w:r>
              <w:rPr>
                <w:rFonts w:ascii="Arial" w:hAnsi="Arial" w:eastAsia="Arial"/>
                <w:b w:val="0"/>
                <w:color w:val="111111"/>
                <w:sz w:val="17"/>
              </w:rPr>
              <w:t>• Programlama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Haftada Öne Çıkan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Algoritmik düşünme, programlama, problem çözme, analitik düşünme ve iş birlikli çalışma.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TYÇ Yetkinlikleri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Dijital yetkinlik; öğrenmeyi öğrenme; matematiksel yetkinlik ve bilim/teknolojide temel yetkinlikler; inisiyatif alma ve girişimcilik.</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Kök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Sorumluluk, saygı ve sabır.</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Temel Kabuller</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Hazırbulunuşluğu gerçekçi belirleme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Öğrencilerin önceki haftalarda algoritma ve temel blok kodlama mantığıyla tanıştıkları kabul edilir. Arayüz veya teknik kullanım hızlarının farklı olabileceği göz önünde bulundurulur; hiçbir öğrenciden uygulama adımlarını ezbere bilmesi beklenmez.</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İlk öğrenci ifadeleri / gözlem</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Öğretmen Hazırlığı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Ders ortamını ve kaynakları hazır hâle getirme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mBlock ortamında olaylar blokları örnekleri ve yıllık planda belirtilen “Uçak Uçuyor” ve “Meslekler” etkinlikleri önceden kontrol edilir. Proje dosyaları, sınıfın seviyesine göre başlangıç şablonu veya boş proje olarak hazırlanır.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Hazır materyal / teknik kontrol</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Ön Değerlendirme Süreci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Mevcut bilgiyi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Önceki arayüz bilgisi kısaca hatırlatılır. “Bir karaktere istediğimiz davranışı yaptırmak için hangi blok grubuna ihtiyaç duyarız?” sorusu olaylar blokları odağına yönlendirilir.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Sözlü yanıt / başlangıç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Köprü Kurma</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Önceki öğrenme ve günlük yaşamla ilişki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Önceki algoritma ve akış mantığı, blokların ekranda belirli bir sırayla birleştirilmesine bağlanır. Öğrenciler, yazdıkları/kurdukları işlem adımlarının blok tabanlı ortamda nasıl davranışa dönüştüğünü gözlemler.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Örnek-gerekçe bağlantısı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Olaylar Bloklarını tanıma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Programın hangi olayla başlayacağını veya başka bir olayın nasıl tetikleneceğini belirleyen bloklar öğretmen ekranında kısa örneklerle gösterilir. Öğrenciler ilgili blok grubunu arayüzde bulur ve blokların parametrelerinin davranışı nasıl değiştirdiğini gözlemler.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Gözlem notu / sözlü açıklama</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Rehberli deneme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Yıllık plandaki “Uçak Uçuyor” ve “Meslekler” etkinliklerinden uygun olanı öğretmen rehberliğinde başlatılır. Öğrenciler blokları yalnızca kopyalamak yerine her bloğun ortaya çıkardığı değişikliği gözlemleyerek ilerler.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Uygulama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 bireysel veya ikili çalışarak yeşil bayrak veya tuş olayıyla başlayan kısa bir etkileşim. Proje çalıştırılarak sonuç gözlenir ve beklenen davranışla karşılaştırılır.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Düzeltme ve geliştirme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Çalışmayan veya beklenmeyen sonuç veren blok dizileri adım adım kontrol edilir. Süre elverirse öğrenci aynı blok grubunu kullanarak küçük bir değişiklik yapar ve sonucu tekrar test eder.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Test sonucu / hata ayıklama notu</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Kapanış ve Öğrenme Kanıtı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Haftanın çekirdek hedefini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Dersin sonunda öğrencilerden haftanın temel öğrenmesini kısa bir cümle, örnek, algoritma, blok kod veya uygulama çıktısı ile göstermeleri istenir. Süre elvermezse bu kısa kontrol sonraki dersin başında tamamlanabilir. Öğrenciden olaylar bloklarını kullanarak kısa bir davranış oluşturması, çalıştırması ve kullandığı iki bloğun işlevini açıklaması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Çıkış ifadesi / ürün / kısa kontrol</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Destekleme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Öğrenme hızındaki farklılıklara uyum sağlama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Teknik adımlarda zorlanan öğrenciler için ekran görüntülü kısa yönerge, eşli çalışma veya öğretmenin örnek proje üzerinden rehberliği kullanılabilir. Temel görevi tamamlamak önceliklidir.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Destekli öğrenci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Zenginleştirme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Öğrenileni yeni duruma transfer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Hızlı ilerleyen öğrencilerden aynı işlevi farklı blok düzeniyle gerçekleştirmeleri, projeye küçük bir özellik eklemeleri veya oluşan davranışın nedenini açıklamaları istenebilir.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Yeni örnek / geliştirilmiş ürün</w:t>
            </w:r>
          </w:p>
        </w:tc>
      </w:tr>
    </w:tbl>
    <w:p>
      <w:pPr>
        <w:pageBreakBefore/>
        <w:spacing w:after="0" w:before="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Süreç İçi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olaylar bloklarını arayüzde bulması, temel işlevlerini açıklaması ve uygulamada amaca uygun kullanması öğretmen gözlemiyle izlenir.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 / Uygulama Kontrolü</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Öğrenciden olaylar bloklarını kullanarak kısa bir davranış oluşturması, çalıştırması ve kullandığı iki bloğun işlevini açıklaması istenir.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Başarı Göstergesi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olay ile gerçekleşen davranış arasındaki ilişkinin doğru kurulması ve kullandığı blokların program davranışına etkisini açıklayabilmesi temel başarı göstergesidir.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Matematik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Sıralı işlemler, karşılaştırmalar, koordinat, değişken ve mantıksal işlemler blok tabanlı programlama içinde işlevsel biçimde kullanılabilir.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Türkçe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Görev yönergelerini anlama, program davranışını açıklama ve hata nedenini açık cümlelerle ifade etme desteklenir.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Görsel Sanatlar / Müzik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Görünüm veya ses blokları kullanılan haftalarda görsel düzen, ritim ve ses gibi öğeler programlama amacıyla ilişkilendirilebilir; ana kazanımın önüne geçirilmez.</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İçerik ve Uygulama Sınırı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Yıllık plandaki “Uçak Uçuyor” ve “Meslekler” etkinlikleri örnek uygulama olarak kullanılabilir. RK.1.3.1.3-RK.1.3.1.4 kazanımları doğrultusunda arayüzü kullanma ve algılama/veri ilişkisini fark etme becerileri süreç boyunca pekiştirilir.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Uygulama Esnekliği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 akışı öğrencilerin soruları, merakı, sınıf içi geçişler, teknik koşullar ve öğrenme hızına göre esnetilebilir. Çekirdek kazanım ve öğrenme kanıtı korunmak koşuluyla örnek, etkinlik ve paylaşım sayısı öğretmen tarafından düzenlenir.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Teknik Alternatif</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Etkileşimli tahta, internet, bilgisayar, benzetim ortamı veya fiziksel donanım kullanılamadığı durumda dersin çekirdek kazanımı uygun görsel, basılı yönerge, öğretmen gösterimi ya da kâğıt üzerindeki modelleme ile sürdürülür. Donanım gerektiren kazanımlarda gerçekleştirilemeyen fiziksel uygulama öğretmen notuna kaydedilir ve imkân oluştuğunda tamamlanır.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Kaynak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rsidR="00FC693F" w:rsidRPr="0006063C" w:rsidSect="00034616">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14.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