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13 / 13.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14 Aralık - 18 Aralık 2026 / 13.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1+1 (toplam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Etiği ve Siber Güvenlik / Yapay Zekâ</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Lisans Türleri / Yapay Zekâda Verinin Rolü</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BTYAB6. Dijital Güvenlik Önlemleri Alma, BTYAB1. Bilişim Teknolojilerini Kullanma, BTYAB4. Dijital Ürün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KB2.7. Karşılaştırma, KB2.8. Sorgulama, KB2.6. Bilgi Toplama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E3.1. Muhakeme, E3.7. Sistematiklik, E1.1. Merak, E2.5. Oyunseverlik, E3.2. Odaklanma, E2.3. Girişkenlik, E3.4. Gerçeği Arama, E3.6. Analitiklik, E3.8. Soru Sorma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etiği ihlalleri, bilişim suçları, güvenlik yazılımları, lisans türleri, siber zorbalık, siber zorbalığın sonuçları, telif hakkı, zararlı yazılımlar, girdi, model geliştirme, yapay zekâ araçları, yapay zekâ teknolojileri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BTY.6.4.4. Kullanım haklarına göre lisans türlerini karşılaştırabilme</w:t>
              <w:br/>
              <w:t>BTY.6.5.1. Yapay zekâ girdileri hakkında bilgi toplayabilme</w:t>
              <w:br/>
              <w:t>a) Kullanım haklarına göre lisans türlerinin özellikleri belirler.</w:t>
              <w:br/>
              <w:t>b) Kullanım haklarına göre lisans türlerinin benzerliklerini listeler.</w:t>
              <w:br/>
              <w:t>c) Kullanım haklarına göre lisans türlerinin farklılıklarını listeler.</w:t>
              <w:br/>
              <w:t>a) Yapay zekâ girdileriyle ilgili gerekli bilgilere ulaşmak için kullanacağı araçları belirler.</w:t>
              <w:br/>
              <w:t>b) Belirlediği araçları kullanarak yapay zekâ girdileri hakkındaki bilgileri bulur.</w:t>
              <w:br/>
              <w:t>c) Yapay zekâ girdileri hakkındaki ulaşılan bilgileri doğrular.</w:t>
              <w:br/>
              <w:t>ç) Yapay zekâ girdileri hakkındaki ulaşılan bilgileri kaydeder.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temelli öğrenme, gösterip yaptırma, küçük grup çalışması, veri analizi, soru-cevap</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tablolama programı, örnek/anonim veri seti, çalışma kâğıdı, projeksiyon/etkileşimli tahta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SDB2.1. İletişim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D1. Adalet, D3. Çalışkanlık, D8. Mahremiyet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KB2.12. Mevcut Bilgiye/Veriye Dayalı Tahmin Etme, KB3.3. Eleştirel Düşünme</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bilişim suçları, telif hakkı ve güvenlik yazılımlarına ilişkin temel kavramlarla daha önce karşılaştıkları; günlük teknoloji kullanımında bazı güvenlik ve etik durumları deneyimledikleri kabul edilir. Öğrencilerin yapay zekânın temel tanımını ve bazı kullanım alanlarını bildikleri; bir dijital araca amaç doğrultusunda komut/girdi verme ve sonuçları gözlemleme deneyimlerinin bulunduğu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etiği, telif, şifre güvenliği, siber zorbalık ve zararlı yazılım konularında açık uçlu kısa senaryolar sunulur. Öğrencilerin riski tanıma, etik ihlali fark etme ve uygun önlem önerme düzeyleri gözlenir. Yapay zekâ tanımı ve kullanım alanlarına ilişkin kısa açık uçlu sorular sorulur. Öğrencilerin girdi, veri, araç seçimi, sonuç doğrulama ve model kavramlarına yönelik ön bilgileri örnek senaryolar üzerinden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Sosyal medya, oyun, dosya paylaşımı, çevrim içi alışveriş ve içerik üretimi sırasında karşılaşılabilecek kişisel veri, telif ve siber zorbalık örnekleri üzerinden günlük yaşamla bağ kurulur. İnsanların bir isteği doğru anlayabilmek için açık ve yeterli bilgiye ihtiyaç duyması ile yapay zekâ sistemlerinin uygun girdiye ihtiyaç duyması ilişkilendirilir; yüz tanıma ve sanal asistan gibi günlük örneklerde verinin nasıl kullanıldığı tartışılır.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 – BTY.6.4.4</w:t>
            </w:r>
          </w:p>
          <w:p>
            <w:pPr>
              <w:spacing w:before="0" w:after="22" w:line="245" w:lineRule="auto"/>
            </w:pPr>
            <w:r>
              <w:rPr>
                <w:rFonts w:ascii="Arial" w:hAnsi="Arial" w:eastAsia="Arial" w:cs="Arial"/>
                <w:b w:val="0"/>
                <w:color w:val="25282B"/>
                <w:sz w:val="16"/>
              </w:rPr>
              <w:t>0–8 dk | Lisans kartları: Kamu malı, Creative Commons, ticari/telifli, deneme ve demo gibi örnek lisans/kullanım durumları gösterilir. Öğrenciler “ücretsiz = sınırsız kullanım” yanılgısını tartışır.</w:t>
            </w:r>
          </w:p>
          <w:p>
            <w:pPr>
              <w:spacing w:before="0" w:after="22" w:line="245" w:lineRule="auto"/>
            </w:pPr>
            <w:r>
              <w:rPr>
                <w:rFonts w:ascii="Arial" w:hAnsi="Arial" w:eastAsia="Arial" w:cs="Arial"/>
                <w:b w:val="0"/>
                <w:color w:val="25282B"/>
                <w:sz w:val="16"/>
              </w:rPr>
              <w:t>8–20 dk | Özellikleri belirleme: Her lisans türü kullanım, paylaşım, değiştirme ve atıf koşulları bakımından tabloya işlenir.</w:t>
            </w:r>
          </w:p>
          <w:p>
            <w:pPr>
              <w:spacing w:before="0" w:after="22" w:line="245" w:lineRule="auto"/>
            </w:pPr>
            <w:r>
              <w:rPr>
                <w:rFonts w:ascii="Arial" w:hAnsi="Arial" w:eastAsia="Arial" w:cs="Arial"/>
                <w:b w:val="0"/>
                <w:color w:val="25282B"/>
                <w:sz w:val="16"/>
              </w:rPr>
              <w:t>20–32 dk | Benzerlik–farklılık: İki lisans türü Venn şeması veya karşılaştırma tablosuyla incelenir. Öğrenci hangi durumda hangi lisansın daha uygun olabileceğini gerekçelendirir.</w:t>
            </w:r>
          </w:p>
          <w:p>
            <w:pPr>
              <w:spacing w:before="0" w:after="22" w:line="245" w:lineRule="auto"/>
            </w:pPr>
            <w:r>
              <w:rPr>
                <w:rFonts w:ascii="Arial" w:hAnsi="Arial" w:eastAsia="Arial" w:cs="Arial"/>
                <w:b w:val="0"/>
                <w:color w:val="25282B"/>
                <w:sz w:val="16"/>
              </w:rPr>
              <w:t>32–40 dk | Etik karar: Dijital ürün hazırlayan bir öğrencinin görsel/müzik seçimi için doğru lisans kullanımı üzerine kısa senaryo çözülür.</w:t>
            </w:r>
          </w:p>
          <w:p>
            <w:pPr>
              <w:spacing w:before="0" w:after="22" w:line="245" w:lineRule="auto"/>
            </w:pPr>
            <w:r>
              <w:rPr>
                <w:rFonts w:ascii="Arial" w:hAnsi="Arial" w:eastAsia="Arial" w:cs="Arial"/>
                <w:b/>
                <w:color w:val="25282B"/>
                <w:sz w:val="16"/>
              </w:rPr>
              <w:t>2. DERS SAATİ (40 dk) – BTY.6.5.1’e giriş</w:t>
            </w:r>
          </w:p>
          <w:p>
            <w:pPr>
              <w:spacing w:before="0" w:after="22" w:line="245" w:lineRule="auto"/>
            </w:pPr>
            <w:r>
              <w:rPr>
                <w:rFonts w:ascii="Arial" w:hAnsi="Arial" w:eastAsia="Arial" w:cs="Arial"/>
                <w:b w:val="0"/>
                <w:color w:val="25282B"/>
                <w:sz w:val="16"/>
              </w:rPr>
              <w:t>0–8 dk | Girdi kavramı: Yapay zekâ modelinin doğru sonuç üretmesi için uygun veriye/girdiye neden ihtiyaç duyduğu günlük örneklerle tartışılır.</w:t>
            </w:r>
          </w:p>
          <w:p>
            <w:pPr>
              <w:spacing w:before="0" w:after="22" w:line="245" w:lineRule="auto"/>
            </w:pPr>
            <w:r>
              <w:rPr>
                <w:rFonts w:ascii="Arial" w:hAnsi="Arial" w:eastAsia="Arial" w:cs="Arial"/>
                <w:b w:val="0"/>
                <w:color w:val="25282B"/>
                <w:sz w:val="16"/>
              </w:rPr>
              <w:t>8–18 dk | Veri niteliği: Doğru etiketleme, çeşitlilik, güncellik, açıklık ve gereksiz bilgiden arındırma özellikleri örnek veri kartları üzerinden ayırt edilir.</w:t>
            </w:r>
          </w:p>
          <w:p>
            <w:pPr>
              <w:spacing w:before="0" w:after="22" w:line="245" w:lineRule="auto"/>
            </w:pPr>
            <w:r>
              <w:rPr>
                <w:rFonts w:ascii="Arial" w:hAnsi="Arial" w:eastAsia="Arial" w:cs="Arial"/>
                <w:b w:val="0"/>
                <w:color w:val="25282B"/>
                <w:sz w:val="16"/>
              </w:rPr>
              <w:t>18–32 dk | Araç belirleme: Bir yapay zekâ sisteminin hangi girdileri kullandığını öğrenmek için resmî web sitesi, e-ansiklopedi, ders kaynağı veya güvenilir araştırma sayfası gibi araçlar seçilir.</w:t>
            </w:r>
          </w:p>
          <w:p>
            <w:pPr>
              <w:spacing w:before="0" w:after="22" w:line="245" w:lineRule="auto"/>
            </w:pPr>
            <w:r>
              <w:rPr>
                <w:rFonts w:ascii="Arial" w:hAnsi="Arial" w:eastAsia="Arial" w:cs="Arial"/>
                <w:b w:val="0"/>
                <w:color w:val="25282B"/>
                <w:sz w:val="16"/>
              </w:rPr>
              <w:t>32–40 dk | Araştırma sorusu: Her öğrenci “Bu yapay zekâ aracı hangi girdileri kullanıyor?” sorusuna yönelik kısa araştırma planı oluşturur.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Hücre adresleri, veri türleri ve temel işlemler için görsel yönerge ile küçük, önceden hazırlanmış veri seti verilir. Formül yazmada zorlanan öğrenci önce hazır formülü inceleyip hücre başvurularını değiştirerek çalışabilir.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araştırma sorusunu farklı grafik türleriyle görselleştirip hangisinin daha anlaşılır olduğunu gerekçelendirebilir; ek bir araştırma sorusu için yeni analiz/formül geliştirebilir.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puanlama anahtarı, kontrol listesi ve Web 2.0/e-içerik, kontrol listesi, gözlem formu, akran değerlendirme formu, bilgi duvarı ve dereceleme ölçeği.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13.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