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17 / 17.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11 Ocak - 15 Ocak 2027 / 17.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1+1 (toplam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Araçları Yapay Zekâ Araçları ile Model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BTYAB1. Bilişim Teknolojilerini Kullanma, BTYAB4. Dijital Ürün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KB2.6. Bilgi Toplama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E2.3. Girişkenlik, E3.4. Gerçeği Arama, E3.6. Analitiklik, E3.8. Soru Sorma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girdi, model geliştirme, yapay zekâ araçları, yapay zekâ teknolojileri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BTY.6.5.2. Yapay zekâ araç ve teknolojileri ile çalışabilme</w:t>
              <w:br/>
              <w:t>BTY.6.5.3. Yapay zekâ araç ve teknolojileri ile model geliştirebilme</w:t>
              <w:br/>
              <w:t>a) Kullanacağı yapay zekâ aracını amacına uygun olarak belirler.</w:t>
              <w:br/>
              <w:t>b) Belirlediği yapay zekâ aracını kullanır.</w:t>
              <w:br/>
              <w:t>c) Kullandığı yapay zekâ aracını uygunluk/verimlilik kapsamında değerlendirir.</w:t>
              <w:br/>
              <w:t>a) Yapay zekâ araç ve teknolojileri ile yapılacak olan modelde gerçek hayat problemini belirler.</w:t>
              <w:br/>
              <w:t>b) Problemin çözümü için bir model oluşturur.</w:t>
              <w:br/>
              <w:t>c) Yapay zekâ uygulamasında geliştirilen modeli uygular.</w:t>
              <w:br/>
              <w:t>ç) Yapay zekâ uygulamasındaki modelin süreç ve sonuçlarını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sorgulama, problem temelli öğrenme, gösterip yaptırma, araştırma,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öğretmen kontrollü yapay zekâ aracı/örnek çıktılar, güvenilir kaynaklar, örnek veri/girdi kartları,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SDB1.3. Öz Yansıtma,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yapay zekânın temel tanımını ve bazı kullanım alanlarını bildikleri; bir dijital araca amaç doğrultusunda komut/girdi verme ve sonuçları gözlemleme deneyimlerinin bulunduğu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tanımı ve kullanım alanlarına ilişkin kısa açık uçlu sorular sorulur. Öğrencilerin girdi, veri, araç seçimi, sonuç doğrulama ve model kavramlarına yönelik ön bilgileri örnek senaryolar üzerinden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İnsanların bir isteği doğru anlayabilmek için açık ve yeterli bilgiye ihtiyaç duyması ile yapay zekâ sistemlerinin uygun girdiye ihtiyaç duyması ilişkilendirilir; yüz tanıma ve sanal asistan gibi günlük örneklerde verinin nasıl kullanıldığı tartışılır.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BTY.6.5.2’nin tamamlanması</w:t>
            </w:r>
          </w:p>
          <w:p>
            <w:pPr>
              <w:spacing w:before="0" w:after="22" w:line="245" w:lineRule="auto"/>
            </w:pPr>
            <w:r>
              <w:rPr>
                <w:rFonts w:ascii="Arial" w:hAnsi="Arial" w:eastAsia="Arial" w:cs="Arial"/>
                <w:b w:val="0"/>
                <w:color w:val="25282B"/>
                <w:sz w:val="16"/>
              </w:rPr>
              <w:t>0–8 dk | Önceki kullanımın analizi: Öğrenciler önceki yapay zekâ görevinde kullandıkları girdiyi ve çıktıyı yeniden inceler; hangi bölümün işe yaradığını belirler.</w:t>
            </w:r>
          </w:p>
          <w:p>
            <w:pPr>
              <w:spacing w:before="0" w:after="22" w:line="245" w:lineRule="auto"/>
            </w:pPr>
            <w:r>
              <w:rPr>
                <w:rFonts w:ascii="Arial" w:hAnsi="Arial" w:eastAsia="Arial" w:cs="Arial"/>
                <w:b w:val="0"/>
                <w:color w:val="25282B"/>
                <w:sz w:val="16"/>
              </w:rPr>
              <w:t>8–20 dk | Uygunluk karşılaştırması: Aynı görevin iki farklı araç türünde nasıl sonuçlanabileceği; hız, açıklanabilirlik, kullanım kolaylığı ve çıktı kalitesi açısından karşılaştırılır.</w:t>
            </w:r>
          </w:p>
          <w:p>
            <w:pPr>
              <w:spacing w:before="0" w:after="22" w:line="245" w:lineRule="auto"/>
            </w:pPr>
            <w:r>
              <w:rPr>
                <w:rFonts w:ascii="Arial" w:hAnsi="Arial" w:eastAsia="Arial" w:cs="Arial"/>
                <w:b w:val="0"/>
                <w:color w:val="25282B"/>
                <w:sz w:val="16"/>
              </w:rPr>
              <w:t>20–32 dk | İyileştirme döngüsü: Girdi–çıktı–değerlendirme–girdi revizyonu döngüsü bir kez daha uygulanır. Öğrenciler değişikliğin çıktıya etkisini kaydeder.</w:t>
            </w:r>
          </w:p>
          <w:p>
            <w:pPr>
              <w:spacing w:before="0" w:after="22" w:line="245" w:lineRule="auto"/>
            </w:pPr>
            <w:r>
              <w:rPr>
                <w:rFonts w:ascii="Arial" w:hAnsi="Arial" w:eastAsia="Arial" w:cs="Arial"/>
                <w:b w:val="0"/>
                <w:color w:val="25282B"/>
                <w:sz w:val="16"/>
              </w:rPr>
              <w:t>32–40 dk | Öz değerlendirme: Aracı amaca uygun seçme ve verimli kullanma becerisi kısa kontrol listesiyle değerlendirilir.</w:t>
            </w:r>
          </w:p>
          <w:p>
            <w:pPr>
              <w:spacing w:before="0" w:after="22" w:line="245" w:lineRule="auto"/>
            </w:pPr>
            <w:r>
              <w:rPr>
                <w:rFonts w:ascii="Arial" w:hAnsi="Arial" w:eastAsia="Arial" w:cs="Arial"/>
                <w:b/>
                <w:color w:val="25282B"/>
                <w:sz w:val="16"/>
              </w:rPr>
              <w:t>2. DERS SAATİ (40 dk) – BTY.6.5.3’e giriş</w:t>
            </w:r>
          </w:p>
          <w:p>
            <w:pPr>
              <w:spacing w:before="0" w:after="22" w:line="245" w:lineRule="auto"/>
            </w:pPr>
            <w:r>
              <w:rPr>
                <w:rFonts w:ascii="Arial" w:hAnsi="Arial" w:eastAsia="Arial" w:cs="Arial"/>
                <w:b w:val="0"/>
                <w:color w:val="25282B"/>
                <w:sz w:val="16"/>
              </w:rPr>
              <w:t>0–8 dk | Gerçek hayat problemi: Atık türlerini ayırt etme, bitki yaprağını sınıflandırma veya okul içinde nesne kategorileştirme gibi basit ve güvenli problemler tartışılır.</w:t>
            </w:r>
          </w:p>
          <w:p>
            <w:pPr>
              <w:spacing w:before="0" w:after="22" w:line="245" w:lineRule="auto"/>
            </w:pPr>
            <w:r>
              <w:rPr>
                <w:rFonts w:ascii="Arial" w:hAnsi="Arial" w:eastAsia="Arial" w:cs="Arial"/>
                <w:b w:val="0"/>
                <w:color w:val="25282B"/>
                <w:sz w:val="16"/>
              </w:rPr>
              <w:t>8–18 dk | Model mantığı: Problem, girdi örnekleri, sınıflar/etiketler ve beklenen çıktı arasındaki ilişki açıklanır. “Model her örneği görmeden nasıl genelleme yapar?” sorusu sorulur.</w:t>
            </w:r>
          </w:p>
          <w:p>
            <w:pPr>
              <w:spacing w:before="0" w:after="22" w:line="245" w:lineRule="auto"/>
            </w:pPr>
            <w:r>
              <w:rPr>
                <w:rFonts w:ascii="Arial" w:hAnsi="Arial" w:eastAsia="Arial" w:cs="Arial"/>
                <w:b w:val="0"/>
                <w:color w:val="25282B"/>
                <w:sz w:val="16"/>
              </w:rPr>
              <w:t>18–32 dk | Model planı: Gruplar bir problem seçer; sınıfları, gerekli örnekleri, veri çeşitliliğini ve başarı ölçütünü belirler. Kişisel veri gerektiren problemler elenir.</w:t>
            </w:r>
          </w:p>
          <w:p>
            <w:pPr>
              <w:spacing w:before="0" w:after="22" w:line="245" w:lineRule="auto"/>
            </w:pPr>
            <w:r>
              <w:rPr>
                <w:rFonts w:ascii="Arial" w:hAnsi="Arial" w:eastAsia="Arial" w:cs="Arial"/>
                <w:b w:val="0"/>
                <w:color w:val="25282B"/>
                <w:sz w:val="16"/>
              </w:rPr>
              <w:t>32–40 dk | Plan paylaşımı: Her grup problem–veri–model–ölçüt zincirini sunar ve akran sorularıyla planını netleştirir.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Girdi–çıktı ilişkisi görsel şema ve örneklerle somutlaştırılır; araç kullanımında öğretmen kontrollü hazır senaryolar ve kişisel veri içermeyen örnek girdiler kullanılır.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görevi farklı girdi biçimleriyle test edip çıktı kalitesini karşılaştırabilir; veri çeşitliliği, önyargı veya model hatası üzerine ek test tasarlayabilir.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puanlama anahtarı, kontrol listesi, gözlem formu, akran değerlendirme formu, bilgi duvarı ve dereceleme ölçeği.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17.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