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21 / 21.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22 Şubat - 26 Şubat 2027 / 21.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Yazılım Tasarımı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Ortamına Giriş</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BTYAB3. Yazılım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E2.1. Empati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döngüler, fonksiyon, hata ayıklama, karakter hareketleri, koşul blokları, planlama, proje, sürükle-bırak, yapay zekâ, yapay zekâ bileşenleri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BTY.6.6.1. Blok tabanlı ortamda yazılım geliştirme sürecinde kullanılan bileşenlerden yararlanabilme</w:t>
              <w:br/>
              <w:t>a) Blok tabanlı ortamında yazılım geliştirme süreci bileşenlerini tanır.</w:t>
              <w:br/>
              <w:t>b) Blok tabanlı ortamda yazılım geliştirme süreci bileşenlerini kullanır.</w:t>
              <w:br/>
              <w:t>c) Blok tabanlı ortamda yazılım geliştirme süreci bileşenlerini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proje tabanlı öğrenme, gösterip yaptırma, problem çözme, iş birlikli öğrenme, hata ayıklama,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blok tabanlı programlama ortamı, proje planı/test tablosu, gerekirse öğretmen kontrollü yapay zekâ bileşeni,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D12. Sabır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temel bilgisayar ve yapay zekâ farkındalığına; algoritma, problem çözme ve hata ayıklama hakkında önceki öğrenmelere sahip oldukları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Günlük yaşam problemleri; navigasyonun rota seçmesi, sesli asistanın hatırlatma üretmesi ve makinelerin belirli adımlarla çalışması üzerinden programlama, algoritma ve yapay zekâ destekli problem çözmeyle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0–8 dk | Fonksiyon ihtiyacı: Günlük bir makine/işlem örneği üzerinden belirli görevi tekrar kullanılabilir bir yapı olarak tanımlama fikri tartışılır.</w:t>
            </w:r>
          </w:p>
          <w:p>
            <w:pPr>
              <w:spacing w:before="0" w:after="22" w:line="245" w:lineRule="auto"/>
            </w:pPr>
            <w:r>
              <w:rPr>
                <w:rFonts w:ascii="Arial" w:hAnsi="Arial" w:eastAsia="Arial" w:cs="Arial"/>
                <w:b w:val="0"/>
                <w:color w:val="25282B"/>
                <w:sz w:val="16"/>
              </w:rPr>
              <w:t>8–20 dk | Fonksiyon/özel blok: Aynı kod grubunun farklı yerde tekrarlandığı örnek incelenir; özel blok/fonksiyon oluşturmanın düzen ve tekrar kullanım avantajı gösterilir.</w:t>
            </w:r>
          </w:p>
          <w:p>
            <w:pPr>
              <w:spacing w:before="0" w:after="22" w:line="245" w:lineRule="auto"/>
            </w:pPr>
            <w:r>
              <w:rPr>
                <w:rFonts w:ascii="Arial" w:hAnsi="Arial" w:eastAsia="Arial" w:cs="Arial"/>
                <w:b w:val="0"/>
                <w:color w:val="25282B"/>
                <w:sz w:val="16"/>
              </w:rPr>
              <w:t>20–32 dk | Uygulama: Öğrenciler karakterin bir hareket dizisini özel blok/fonksiyon altında toplar ve farklı yerde çağırır.</w:t>
            </w:r>
          </w:p>
          <w:p>
            <w:pPr>
              <w:spacing w:before="0" w:after="22" w:line="245" w:lineRule="auto"/>
            </w:pPr>
            <w:r>
              <w:rPr>
                <w:rFonts w:ascii="Arial" w:hAnsi="Arial" w:eastAsia="Arial" w:cs="Arial"/>
                <w:b w:val="0"/>
                <w:color w:val="25282B"/>
                <w:sz w:val="16"/>
              </w:rPr>
              <w:t>32–40 dk | Bileşen değerlendirmesi: Olay, hareket, döngü, koşul ve fonksiyon bloklarının hangi problemlerde işe yaradığı eşleştirilir.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0–10 dk | Mini görev seçimi: Labirent, kısa hikâye veya puanlı yakalama gibi küçük görevlerden biri seçilir.</w:t>
            </w:r>
          </w:p>
          <w:p>
            <w:pPr>
              <w:spacing w:before="0" w:after="22" w:line="245" w:lineRule="auto"/>
            </w:pPr>
            <w:r>
              <w:rPr>
                <w:rFonts w:ascii="Arial" w:hAnsi="Arial" w:eastAsia="Arial" w:cs="Arial"/>
                <w:b w:val="0"/>
                <w:color w:val="25282B"/>
                <w:sz w:val="16"/>
              </w:rPr>
              <w:t>10–25 dk | Bileşenleri birlikte kullanma: En az bir olay, bir tekrar/koşul ve bir özel blok/fonksiyon içeren çözüm oluşturulur.</w:t>
            </w:r>
          </w:p>
          <w:p>
            <w:pPr>
              <w:spacing w:before="0" w:after="22" w:line="245" w:lineRule="auto"/>
            </w:pPr>
            <w:r>
              <w:rPr>
                <w:rFonts w:ascii="Arial" w:hAnsi="Arial" w:eastAsia="Arial" w:cs="Arial"/>
                <w:b w:val="0"/>
                <w:color w:val="25282B"/>
                <w:sz w:val="16"/>
              </w:rPr>
              <w:t>25–34 dk | Hata ayıklama: Kod adım adım çalıştırılır; mantık hatası ve beklenmeyen davranış için düzeltme yapılır.</w:t>
            </w:r>
          </w:p>
          <w:p>
            <w:pPr>
              <w:spacing w:before="0" w:after="22" w:line="245" w:lineRule="auto"/>
            </w:pPr>
            <w:r>
              <w:rPr>
                <w:rFonts w:ascii="Arial" w:hAnsi="Arial" w:eastAsia="Arial" w:cs="Arial"/>
                <w:b w:val="0"/>
                <w:color w:val="25282B"/>
                <w:sz w:val="16"/>
              </w:rPr>
              <w:t>34–40 dk | Tema geçişi: “Bir ürünü rastgele değil planlı geliştirsek hangi adımlar gerekir?” sorusuyla BTY.6.6.2’ye hazırlık yapılır.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öğrencilerden aynı işlev için alternatif algoritma geliştirmeleri, kod tekrarını azaltmaları, ek test senaryosu oluşturmaları veya ürüne güvenli ve açıklanabilir ek özellik tasarlamaları istenir.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Matematik, Müzik,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21.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