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24 / 24.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22 Mart - 26 Mart 2027 / 24.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Yazılım Tasarımı ve Programlama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Ortamda Tasarım ve Programlama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BTYAB3. Yazılım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E2.1. Empati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programlama, döngüler, fonksiyon, hata ayıklama, karakter hareketleri, koşul blokları, planlama, proje, sürükle-bırak, yapay zekâ, yapay zekâ bileşenleri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BTY.6.6.2. Blok tabanlı ortamda yazılım geliştirme sürecini yönetebilme</w:t>
              <w:br/>
              <w:t>a) Blok tabanlı ortamda yazılım geliştirme sürecini planlar.</w:t>
              <w:br/>
              <w:t>b) Blok tabanlı ortamda yazılımı tasarlar.</w:t>
              <w:br/>
              <w:t>c) Blok tabanlı ortamda yazılımı oluşturur.</w:t>
              <w:br/>
              <w:t>ç) Blok tabanlı ortamda oluşturulan yazılımı değerlendirir.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proje tabanlı öğrenme, gösterip yaptırma, problem çözme, iş birlikli öğrenme, hata ayıklama, akran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blok tabanlı programlama ortamı, proje planı/test tablosu, gerekirse öğretmen kontrollü yapay zekâ bileşeni, kontrol listesi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SDB2.2. İş Birliği, SDB3.3. Sorumlu Karar Verme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D6. Dürüstlük, D12. Sabır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temel bilgisayar ve yapay zekâ farkındalığına; algoritma, problem çözme ve hata ayıklama hakkında önceki öğrenmelere sahip oldukları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Problem çözme ve algoritmik düşünmeyi ortaya çıkaracak kısa görevler verilir. Basit bir karakter hareketi veya günlük bir işlemin adımlarını sıralama üzerinden öğrencilerin blok tabanlı ortam deneyimi, sıralama ve hata ayıklama becerileri gözlenir.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Günlük yaşam problemleri; navigasyonun rota seçmesi, sesli asistanın hatırlatma üretmesi ve makinelerin belirli adımlarla çalışması üzerinden programlama, algoritma ve yapay zekâ destekli problem çözmeyle ilişkilendirilir.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w:t>
            </w:r>
          </w:p>
          <w:p>
            <w:pPr>
              <w:spacing w:before="0" w:after="22" w:line="245" w:lineRule="auto"/>
            </w:pPr>
            <w:r>
              <w:rPr>
                <w:rFonts w:ascii="Arial" w:hAnsi="Arial" w:eastAsia="Arial" w:cs="Arial"/>
                <w:b w:val="0"/>
                <w:color w:val="25282B"/>
                <w:sz w:val="16"/>
              </w:rPr>
              <w:t>0–8 dk | Proje durum kontrolü: Plan ve önceki prototip karşılaştırılır; eksik gereksinimler öncelik sırasına konur.</w:t>
            </w:r>
          </w:p>
          <w:p>
            <w:pPr>
              <w:spacing w:before="0" w:after="22" w:line="245" w:lineRule="auto"/>
            </w:pPr>
            <w:r>
              <w:rPr>
                <w:rFonts w:ascii="Arial" w:hAnsi="Arial" w:eastAsia="Arial" w:cs="Arial"/>
                <w:b w:val="0"/>
                <w:color w:val="25282B"/>
                <w:sz w:val="16"/>
              </w:rPr>
              <w:t>8–25 dk | Geliştirme: Ana işlevlere koşul, döngü, puan/değişken veya etkileşim özellikleri eklenir. Her yeni özellik eklendikten sonra çalıştırılarak kontrol edilir.</w:t>
            </w:r>
          </w:p>
          <w:p>
            <w:pPr>
              <w:spacing w:before="0" w:after="22" w:line="245" w:lineRule="auto"/>
            </w:pPr>
            <w:r>
              <w:rPr>
                <w:rFonts w:ascii="Arial" w:hAnsi="Arial" w:eastAsia="Arial" w:cs="Arial"/>
                <w:b w:val="0"/>
                <w:color w:val="25282B"/>
                <w:sz w:val="16"/>
              </w:rPr>
              <w:t>25–34 dk | Hata günlüğü: Karşılaşılan hatanın belirtisi, olası nedeni ve uygulanan çözüm kısa kayıtla tutulur.</w:t>
            </w:r>
          </w:p>
          <w:p>
            <w:pPr>
              <w:spacing w:before="0" w:after="22" w:line="245" w:lineRule="auto"/>
            </w:pPr>
            <w:r>
              <w:rPr>
                <w:rFonts w:ascii="Arial" w:hAnsi="Arial" w:eastAsia="Arial" w:cs="Arial"/>
                <w:b w:val="0"/>
                <w:color w:val="25282B"/>
                <w:sz w:val="16"/>
              </w:rPr>
              <w:t>34–40 dk | Akran teknik inceleme: Başka grup ürünü kullanıp anlaşılmayan veya çalışmayan bir noktayı geri bildirir.</w:t>
            </w:r>
          </w:p>
          <w:p>
            <w:pPr>
              <w:spacing w:before="0" w:after="22" w:line="245" w:lineRule="auto"/>
            </w:pPr>
            <w:r>
              <w:rPr>
                <w:rFonts w:ascii="Arial" w:hAnsi="Arial" w:eastAsia="Arial" w:cs="Arial"/>
                <w:b/>
                <w:color w:val="25282B"/>
                <w:sz w:val="16"/>
              </w:rPr>
              <w:t>2. DERS SAATİ (40 dk)</w:t>
            </w:r>
          </w:p>
          <w:p>
            <w:pPr>
              <w:spacing w:before="0" w:after="22" w:line="245" w:lineRule="auto"/>
            </w:pPr>
            <w:r>
              <w:rPr>
                <w:rFonts w:ascii="Arial" w:hAnsi="Arial" w:eastAsia="Arial" w:cs="Arial"/>
                <w:b w:val="0"/>
                <w:color w:val="25282B"/>
                <w:sz w:val="16"/>
              </w:rPr>
              <w:t>0–12 dk | Tasarım iyileştirme: Akran geri bildirimiyle kullanıcı yönlendirmeleri, görsel düzen veya kontrol akışı geliştirilir.</w:t>
            </w:r>
          </w:p>
          <w:p>
            <w:pPr>
              <w:spacing w:before="0" w:after="22" w:line="245" w:lineRule="auto"/>
            </w:pPr>
            <w:r>
              <w:rPr>
                <w:rFonts w:ascii="Arial" w:hAnsi="Arial" w:eastAsia="Arial" w:cs="Arial"/>
                <w:b w:val="0"/>
                <w:color w:val="25282B"/>
                <w:sz w:val="16"/>
              </w:rPr>
              <w:t>12–28 dk | Kodlama devamı: Eksik işlevler tamamlanır; tekrar eden kodlar sadeleştirilir ve uygun yerde özel blok/fonksiyon kullanılır.</w:t>
            </w:r>
          </w:p>
          <w:p>
            <w:pPr>
              <w:spacing w:before="0" w:after="22" w:line="245" w:lineRule="auto"/>
            </w:pPr>
            <w:r>
              <w:rPr>
                <w:rFonts w:ascii="Arial" w:hAnsi="Arial" w:eastAsia="Arial" w:cs="Arial"/>
                <w:b w:val="0"/>
                <w:color w:val="25282B"/>
                <w:sz w:val="16"/>
              </w:rPr>
              <w:t>28–35 dk | Başarı ölçütü testi: Proje başlangıçta yazılan başarı ölçütlerine göre kontrol edilir.</w:t>
            </w:r>
          </w:p>
          <w:p>
            <w:pPr>
              <w:spacing w:before="0" w:after="22" w:line="245" w:lineRule="auto"/>
            </w:pPr>
            <w:r>
              <w:rPr>
                <w:rFonts w:ascii="Arial" w:hAnsi="Arial" w:eastAsia="Arial" w:cs="Arial"/>
                <w:b w:val="0"/>
                <w:color w:val="25282B"/>
                <w:sz w:val="16"/>
              </w:rPr>
              <w:t>35–40 dk | Öz yansıtma: Öğrenci projede üstlendiği görevi ve bir teknik katkısını yazar.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Kod bloklarını renk/işlev gruplarıyla gösteren görsel yönerge, adım adım görev kartı ve çalışan örnek başlangıç dosyası sunulur. Öğrencinin tüm projeyi bir anda tamamlaması yerine tek işlevi çalıştırıp test etmesi sağlanır; akran desteği kullanılabilir.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İleri düzey öğrencilerden aynı işlev için alternatif algoritma geliştirmeleri, kod tekrarını azaltmaları, ek test senaryosu oluşturmaları veya ürüne güvenli ve açıklanabilir ek özellik tasarlamaları istenir.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Süreç boyunca planlama, blokları amaca uygun kullanma, test etme, hata ayıklama, iş birliği ve gerekçeli revizyon davranışları gözlem formu/kontrol listesiyle izlenir. Haftalık ürün veya proje sürümü çalışırlık, kod düzeni, problemle uyum ve kullanıcı deneyimi ölçütleriyle değerlendirilir. Öğrenci kısa öz değerlendirmede yaptığı değişikliği ve sonucunu açıklar. TYMM tema düzeyinde önerilen araçlar: kontrol listesi, gözlem formu, akran değerlendirme formu, rubrik ölçeği ve öz değerlendirme formu.</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Sanatlar, Matematik, Müzik, Sosyal Bilgiler,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24.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