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27 / 27.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12 Nisan - 16 Nisan 2027 / 27.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 ders saati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Yazılım Tasarımı ve Programlama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Blok Tabanlı Ortamda Tasarım ve Programlama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BTYAB3. Yazılım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E1.1. Merak, E2.1. Empati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blok tabanlı programlama, döngüler, fonksiyon, hata ayıklama, karakter hareketleri, koşul blokları, planlama, proje, sürükle-bırak, yapay zekâ, yapay zekâ bileşenleri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BTY.6.6.2. Blok tabanlı ortamda yazılım geliştirme sürecini yönetebilme</w:t>
              <w:br/>
              <w:t>a) Blok tabanlı ortamda yazılım geliştirme sürecini planlar.</w:t>
              <w:br/>
              <w:t>b) Blok tabanlı ortamda yazılımı tasarlar.</w:t>
              <w:br/>
              <w:t>c) Blok tabanlı ortamda yazılımı oluşturur.</w:t>
              <w:br/>
              <w:t>ç) Blok tabanlı ortamda oluşturulan yazılımı değerlendirir.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proje tabanlı öğrenme, gösterip yaptırma, problem çözme, iş birlikli öğrenme, hata ayıklama, akran değerlendirme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blok tabanlı programlama ortamı, proje planı/test tablosu, gerekirse öğretmen kontrollü yapay zekâ bileşeni, kontrol listesi</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SDB1.2. Öz Düzenleme, SDB2.2. İş Birliği, SDB3.3. Sorumlu Karar Verme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D3. Çalışkanlık, D6. Dürüstlük, D12. Sabır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temel bilgisayar ve yapay zekâ farkındalığına; algoritma, problem çözme ve hata ayıklama hakkında önceki öğrenmelere sahip oldukları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Problem çözme ve algoritmik düşünmeyi ortaya çıkaracak kısa görevler verilir. Basit bir karakter hareketi veya günlük bir işlemin adımlarını sıralama üzerinden öğrencilerin blok tabanlı ortam deneyimi, sıralama ve hata ayıklama becerileri gözlenir.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Günlük yaşam problemleri; navigasyonun rota seçmesi, sesli asistanın hatırlatma üretmesi ve makinelerin belirli adımlarla çalışması üzerinden programlama, algoritma ve yapay zekâ destekli problem çözmeyle ilişkilendirilir.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w:t>
            </w:r>
          </w:p>
          <w:p>
            <w:pPr>
              <w:spacing w:before="0" w:after="22" w:line="245" w:lineRule="auto"/>
            </w:pPr>
            <w:r>
              <w:rPr>
                <w:rFonts w:ascii="Arial" w:hAnsi="Arial" w:eastAsia="Arial" w:cs="Arial"/>
                <w:b w:val="0"/>
                <w:color w:val="25282B"/>
                <w:sz w:val="16"/>
              </w:rPr>
              <w:t>0–10 dk | Veri/değişken kullanımı: Puan, süre, can veya kullanıcı seçimi gibi değişken gerektiren bir ihtiyaç belirlenir; değişkenin başlangıç ve güncellenme kuralları yazılır.</w:t>
            </w:r>
          </w:p>
          <w:p>
            <w:pPr>
              <w:spacing w:before="0" w:after="22" w:line="245" w:lineRule="auto"/>
            </w:pPr>
            <w:r>
              <w:rPr>
                <w:rFonts w:ascii="Arial" w:hAnsi="Arial" w:eastAsia="Arial" w:cs="Arial"/>
                <w:b w:val="0"/>
                <w:color w:val="25282B"/>
                <w:sz w:val="16"/>
              </w:rPr>
              <w:t>10–27 dk | Uygulama: Projede gerekli değişken/puan mantığı kurulup farklı durumlarda test edilir.</w:t>
            </w:r>
          </w:p>
          <w:p>
            <w:pPr>
              <w:spacing w:before="0" w:after="22" w:line="245" w:lineRule="auto"/>
            </w:pPr>
            <w:r>
              <w:rPr>
                <w:rFonts w:ascii="Arial" w:hAnsi="Arial" w:eastAsia="Arial" w:cs="Arial"/>
                <w:b w:val="0"/>
                <w:color w:val="25282B"/>
                <w:sz w:val="16"/>
              </w:rPr>
              <w:t>27–35 dk | Koşulla ilişkilendirme: Değişken değerine göre farklı tepki veren koşul eklenir; eşik değerlerin etkisi gözlenir.</w:t>
            </w:r>
          </w:p>
          <w:p>
            <w:pPr>
              <w:spacing w:before="0" w:after="22" w:line="245" w:lineRule="auto"/>
            </w:pPr>
            <w:r>
              <w:rPr>
                <w:rFonts w:ascii="Arial" w:hAnsi="Arial" w:eastAsia="Arial" w:cs="Arial"/>
                <w:b w:val="0"/>
                <w:color w:val="25282B"/>
                <w:sz w:val="16"/>
              </w:rPr>
              <w:t>35–40 dk | Hızlı değerlendirme: Değişkenin programın hangi kararını etkilediği öğrenci tarafından açıklanır.</w:t>
            </w:r>
          </w:p>
          <w:p>
            <w:pPr>
              <w:spacing w:before="0" w:after="22" w:line="245" w:lineRule="auto"/>
            </w:pPr>
            <w:r>
              <w:rPr>
                <w:rFonts w:ascii="Arial" w:hAnsi="Arial" w:eastAsia="Arial" w:cs="Arial"/>
                <w:b/>
                <w:color w:val="25282B"/>
                <w:sz w:val="16"/>
              </w:rPr>
              <w:t>2. DERS SAATİ (40 dk)</w:t>
            </w:r>
          </w:p>
          <w:p>
            <w:pPr>
              <w:spacing w:before="0" w:after="22" w:line="245" w:lineRule="auto"/>
            </w:pPr>
            <w:r>
              <w:rPr>
                <w:rFonts w:ascii="Arial" w:hAnsi="Arial" w:eastAsia="Arial" w:cs="Arial"/>
                <w:b w:val="0"/>
                <w:color w:val="25282B"/>
                <w:sz w:val="16"/>
              </w:rPr>
              <w:t>0–12 dk | Kullanıcı deneyimi: Yönerge, başlangıç ekranı, geri bildirim ve bitiş durumu kullanıcı gözüyle incelenir.</w:t>
            </w:r>
          </w:p>
          <w:p>
            <w:pPr>
              <w:spacing w:before="0" w:after="22" w:line="245" w:lineRule="auto"/>
            </w:pPr>
            <w:r>
              <w:rPr>
                <w:rFonts w:ascii="Arial" w:hAnsi="Arial" w:eastAsia="Arial" w:cs="Arial"/>
                <w:b w:val="0"/>
                <w:color w:val="25282B"/>
                <w:sz w:val="16"/>
              </w:rPr>
              <w:t>12–28 dk | İyileştirme: Görsel/sesli geri bildirim ve kullanıcı yönlendirmeleri eklenir; erişilebilirlik ve anlaşılabilirlik açısından sadeleştirme yapılır.</w:t>
            </w:r>
          </w:p>
          <w:p>
            <w:pPr>
              <w:spacing w:before="0" w:after="22" w:line="245" w:lineRule="auto"/>
            </w:pPr>
            <w:r>
              <w:rPr>
                <w:rFonts w:ascii="Arial" w:hAnsi="Arial" w:eastAsia="Arial" w:cs="Arial"/>
                <w:b w:val="0"/>
                <w:color w:val="25282B"/>
                <w:sz w:val="16"/>
              </w:rPr>
              <w:t>28–35 dk | Kullanıcı testi: Başka grup ürünü kısa görevle kullanır; öğretmen yardım etmeden nerede zorlandığı gözlenir.</w:t>
            </w:r>
          </w:p>
          <w:p>
            <w:pPr>
              <w:spacing w:before="0" w:after="22" w:line="245" w:lineRule="auto"/>
            </w:pPr>
            <w:r>
              <w:rPr>
                <w:rFonts w:ascii="Arial" w:hAnsi="Arial" w:eastAsia="Arial" w:cs="Arial"/>
                <w:b w:val="0"/>
                <w:color w:val="25282B"/>
                <w:sz w:val="16"/>
              </w:rPr>
              <w:t>35–40 dk | Revizyon kararı: Gelen geri bildirimlerden uygulanacak iki değişiklik seçilir.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Kod bloklarını renk/işlev gruplarıyla gösteren görsel yönerge, adım adım görev kartı ve çalışan örnek başlangıç dosyası sunulur. Öğrencinin tüm projeyi bir anda tamamlaması yerine tek işlevi çalıştırıp test etmesi sağlanır; akran desteği kullanılabilir.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İleri düzey öğrencilerden aynı işlev için alternatif algoritma geliştirmeleri, kod tekrarını azaltmaları, ek test senaryosu oluşturmaları veya ürüne güvenli ve açıklanabilir ek özellik tasarlamaları istenir.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Süreç boyunca planlama, blokları amaca uygun kullanma, test etme, hata ayıklama, iş birliği ve gerekçeli revizyon davranışları gözlem formu/kontrol listesiyle izlenir. Haftalık ürün veya proje sürümü çalışırlık, kod düzeni, problemle uyum ve kullanıcı deneyimi ölçütleriyle değerlendirilir. Öğrenci kısa öz değerlendirmede yaptığı değişikliği ve sonucunu açıklar. TYMM tema düzeyinde önerilen araçlar: kontrol listesi, gözlem formu, akran değerlendirme formu, rubrik ölçeği ve öz değerlendirme formu.</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Sanatlar, Matematik, Müzik, Sosyal Bilgiler,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27.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