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28 / 28.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19 Nisan - 23 Nisan 2027 / 28.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Ortamda Tasarım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BTY.6.6.2. Blok tabanlı ortamda yazılım geliştirme sürecini yönetebilme</w:t>
              <w:br/>
              <w:t>a) Blok tabanlı ortamda yazılım geliştirme sürecini planlar.</w:t>
              <w:br/>
              <w:t>b) Blok tabanlı ortamda yazılımı tasarlar.</w:t>
              <w:br/>
              <w:t>c) Blok tabanlı ortamda yazılımı oluşturur.</w:t>
              <w:br/>
              <w:t>ç) Blok tabanlı ortamda oluşturulan yazılımı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0–10 dk | Proje ölçütleri: Problem çözme, çalışırlık, kod düzeni, kullanıcı deneyimi ve özgünlük ölçütleri yeniden hatırlatılır.</w:t>
            </w:r>
          </w:p>
          <w:p>
            <w:pPr>
              <w:spacing w:before="0" w:after="22" w:line="245" w:lineRule="auto"/>
            </w:pPr>
            <w:r>
              <w:rPr>
                <w:rFonts w:ascii="Arial" w:hAnsi="Arial" w:eastAsia="Arial" w:cs="Arial"/>
                <w:b w:val="0"/>
                <w:color w:val="25282B"/>
                <w:sz w:val="16"/>
              </w:rPr>
              <w:t>10–26 dk | Son geliştirmeler: Önceki kullanıcı testinden seçilen iyileştirmeler uygulanır; hata ayıklama yapılır.</w:t>
            </w:r>
          </w:p>
          <w:p>
            <w:pPr>
              <w:spacing w:before="0" w:after="22" w:line="245" w:lineRule="auto"/>
            </w:pPr>
            <w:r>
              <w:rPr>
                <w:rFonts w:ascii="Arial" w:hAnsi="Arial" w:eastAsia="Arial" w:cs="Arial"/>
                <w:b w:val="0"/>
                <w:color w:val="25282B"/>
                <w:sz w:val="16"/>
              </w:rPr>
              <w:t>26–34 dk | Fonksiyon ve tekrar kontrolü: Gereksiz tekrarlar azaltılır; uygun yerlerde özel blok/fonksiyonla yapı sadeleştirilir.</w:t>
            </w:r>
          </w:p>
          <w:p>
            <w:pPr>
              <w:spacing w:before="0" w:after="22" w:line="245" w:lineRule="auto"/>
            </w:pPr>
            <w:r>
              <w:rPr>
                <w:rFonts w:ascii="Arial" w:hAnsi="Arial" w:eastAsia="Arial" w:cs="Arial"/>
                <w:b w:val="0"/>
                <w:color w:val="25282B"/>
                <w:sz w:val="16"/>
              </w:rPr>
              <w:t>34–40 dk | Sürüm kaydı: Dosya son sürüm adıyla kaydedilir ve yedeklenir.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0–15 dk | Tam test: Başlangıçtan bitişe ana kullanım senaryosu ve iki sınır durumu test edilir.</w:t>
            </w:r>
          </w:p>
          <w:p>
            <w:pPr>
              <w:spacing w:before="0" w:after="22" w:line="245" w:lineRule="auto"/>
            </w:pPr>
            <w:r>
              <w:rPr>
                <w:rFonts w:ascii="Arial" w:hAnsi="Arial" w:eastAsia="Arial" w:cs="Arial"/>
                <w:b w:val="0"/>
                <w:color w:val="25282B"/>
                <w:sz w:val="16"/>
              </w:rPr>
              <w:t>15–27 dk | Akran değerlendirme: Ürün rubrik/ kontrol listesiyle başka grup tarafından değerlendirilir; somut kanıt içeren geri bildirim verilir.</w:t>
            </w:r>
          </w:p>
          <w:p>
            <w:pPr>
              <w:spacing w:before="0" w:after="22" w:line="245" w:lineRule="auto"/>
            </w:pPr>
            <w:r>
              <w:rPr>
                <w:rFonts w:ascii="Arial" w:hAnsi="Arial" w:eastAsia="Arial" w:cs="Arial"/>
                <w:b w:val="0"/>
                <w:color w:val="25282B"/>
                <w:sz w:val="16"/>
              </w:rPr>
              <w:t>27–35 dk | Düzeltme: En kritik hata veya eksik giderilir.</w:t>
            </w:r>
          </w:p>
          <w:p>
            <w:pPr>
              <w:spacing w:before="0" w:after="22" w:line="245" w:lineRule="auto"/>
            </w:pPr>
            <w:r>
              <w:rPr>
                <w:rFonts w:ascii="Arial" w:hAnsi="Arial" w:eastAsia="Arial" w:cs="Arial"/>
                <w:b w:val="0"/>
                <w:color w:val="25282B"/>
                <w:sz w:val="16"/>
              </w:rPr>
              <w:t>35–40 dk | Geçiş sorusu: “Bu ürüne yapay zekâ özelliği eklemek isteseydik hangi işe yarardı ve hangi veriye ihtiyaç duyardı?” sorusuyla BTY.6.6.3’e hazırlık yapılır.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23 Nisan Ulusal Egemenlik ve Çocuk Bayramı bu haftaya denk gelir. Dersin fiilî gününe göre proje süresi uyarlanır.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