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32 / 32.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17 Mayıs - 21 Mayıs 2027 / 32.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Yazılım Tasarımı ve Programlama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Yapay Zekâ Destekli Ürün Geliştirme ve Sunum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BTYAB3. Yazılım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E2.1. Empati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programlama, döngüler, fonksiyon, hata ayıklama, karakter hareketleri, koşul blokları, planlama, proje, sürükle-bırak, yapay zekâ, yapay zekâ bileşenleri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BTY.6.6.3. Blok tabanlı ortamda yapay zekâ destekli ürün ortaya koyabilme</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proje tabanlı öğrenme, gösterip yaptırma, problem çözme, iş birlikli öğrenme, hata ayıklama,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blok tabanlı programlama ortamı, proje planı/test tablosu, gerekirse öğretmen kontrollü yapay zekâ bileşeni, kontrol listesi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Öz Düzenleme, SDB2.2. İş Birliği,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D6. Dürüstlük, D12. Sabır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temel bilgisayar ve yapay zekâ farkındalığına; algoritma, problem çözme ve hata ayıklama hakkında önceki öğrenmelere sahip oldukları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Günlük yaşam problemleri; navigasyonun rota seçmesi, sesli asistanın hatırlatma üretmesi ve makinelerin belirli adımlarla çalışması üzerinden programlama, algoritma ve yapay zekâ destekli problem çözmeyle ilişkilendirilir.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w:t>
            </w:r>
          </w:p>
          <w:p>
            <w:pPr>
              <w:spacing w:before="0" w:after="22" w:line="245" w:lineRule="auto"/>
            </w:pPr>
            <w:r>
              <w:rPr>
                <w:rFonts w:ascii="Arial" w:hAnsi="Arial" w:eastAsia="Arial" w:cs="Arial"/>
                <w:b w:val="0"/>
                <w:color w:val="25282B"/>
                <w:sz w:val="16"/>
              </w:rPr>
              <w:t>0–10 dk | Kısa haftaya uyarlanmış durum kontrolü: Kurban Bayramı ve 19 Mayıs tatilleri nedeniyle dersin fiilen yapılabildiği gün/süre dikkate alınarak yalnızca kritik proje hedefleri seçilir.</w:t>
            </w:r>
          </w:p>
          <w:p>
            <w:pPr>
              <w:spacing w:before="0" w:after="22" w:line="245" w:lineRule="auto"/>
            </w:pPr>
            <w:r>
              <w:rPr>
                <w:rFonts w:ascii="Arial" w:hAnsi="Arial" w:eastAsia="Arial" w:cs="Arial"/>
                <w:b w:val="0"/>
                <w:color w:val="25282B"/>
                <w:sz w:val="16"/>
              </w:rPr>
              <w:t>10–25 dk | Kritik hata düzeltme: Ürünün çalışmasını engelleyen en önemli blok/model entegrasyon hataları giderilir.</w:t>
            </w:r>
          </w:p>
          <w:p>
            <w:pPr>
              <w:spacing w:before="0" w:after="22" w:line="245" w:lineRule="auto"/>
            </w:pPr>
            <w:r>
              <w:rPr>
                <w:rFonts w:ascii="Arial" w:hAnsi="Arial" w:eastAsia="Arial" w:cs="Arial"/>
                <w:b w:val="0"/>
                <w:color w:val="25282B"/>
                <w:sz w:val="16"/>
              </w:rPr>
              <w:t>25–35 dk | Temel test: En az iki temsilî girdiyle yapay zekâ özelliğinin çıktısı ve program tepkisi doğrulanır.</w:t>
            </w:r>
          </w:p>
          <w:p>
            <w:pPr>
              <w:spacing w:before="0" w:after="22" w:line="245" w:lineRule="auto"/>
            </w:pPr>
            <w:r>
              <w:rPr>
                <w:rFonts w:ascii="Arial" w:hAnsi="Arial" w:eastAsia="Arial" w:cs="Arial"/>
                <w:b w:val="0"/>
                <w:color w:val="25282B"/>
                <w:sz w:val="16"/>
              </w:rPr>
              <w:t>35–40 dk | Kayıt: Tamamlanamayan işler sonraki haftaya açık görev olarak yazılır.</w:t>
            </w:r>
          </w:p>
          <w:p>
            <w:pPr>
              <w:spacing w:before="0" w:after="22" w:line="245" w:lineRule="auto"/>
            </w:pPr>
            <w:r>
              <w:rPr>
                <w:rFonts w:ascii="Arial" w:hAnsi="Arial" w:eastAsia="Arial" w:cs="Arial"/>
                <w:b/>
                <w:color w:val="25282B"/>
                <w:sz w:val="16"/>
              </w:rPr>
              <w:t>2. DERS SAATİ (40 dk) – ders saati okul takvimine göre uygulanabiliyorsa</w:t>
            </w:r>
          </w:p>
          <w:p>
            <w:pPr>
              <w:spacing w:before="0" w:after="22" w:line="245" w:lineRule="auto"/>
            </w:pPr>
            <w:r>
              <w:rPr>
                <w:rFonts w:ascii="Arial" w:hAnsi="Arial" w:eastAsia="Arial" w:cs="Arial"/>
                <w:b w:val="0"/>
                <w:color w:val="25282B"/>
                <w:sz w:val="16"/>
              </w:rPr>
              <w:t>0–12 dk | Kullanılabilirlik: Kullanıcının hangi girdi vereceği ve sonucu nasıl anlayacağı açıklık açısından gözden geçirilir.</w:t>
            </w:r>
          </w:p>
          <w:p>
            <w:pPr>
              <w:spacing w:before="0" w:after="22" w:line="245" w:lineRule="auto"/>
            </w:pPr>
            <w:r>
              <w:rPr>
                <w:rFonts w:ascii="Arial" w:hAnsi="Arial" w:eastAsia="Arial" w:cs="Arial"/>
                <w:b w:val="0"/>
                <w:color w:val="25282B"/>
                <w:sz w:val="16"/>
              </w:rPr>
              <w:t>12–28 dk | Hafif revizyon: Yönerge, geri bildirim ve görsel düzen gibi süre içinde tamamlanabilecek iyileştirmeler uygulanır.</w:t>
            </w:r>
          </w:p>
          <w:p>
            <w:pPr>
              <w:spacing w:before="0" w:after="22" w:line="245" w:lineRule="auto"/>
            </w:pPr>
            <w:r>
              <w:rPr>
                <w:rFonts w:ascii="Arial" w:hAnsi="Arial" w:eastAsia="Arial" w:cs="Arial"/>
                <w:b w:val="0"/>
                <w:color w:val="25282B"/>
                <w:sz w:val="16"/>
              </w:rPr>
              <w:t>28–35 dk | Hızlı akran testi: Ürün tek kullanım senaryosuyla başka grup tarafından denenir.</w:t>
            </w:r>
          </w:p>
          <w:p>
            <w:pPr>
              <w:spacing w:before="0" w:after="22" w:line="245" w:lineRule="auto"/>
            </w:pPr>
            <w:r>
              <w:rPr>
                <w:rFonts w:ascii="Arial" w:hAnsi="Arial" w:eastAsia="Arial" w:cs="Arial"/>
                <w:b w:val="0"/>
                <w:color w:val="25282B"/>
                <w:sz w:val="16"/>
              </w:rPr>
              <w:t>35–40 dk | Sonraki hafta planı: Testten çıkan iki öncelikli görev belirlenir.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İleri düzey öğrencilerden aynı işlev için alternatif algoritma geliştirmeleri, kod tekrarını azaltmaları, ek test senaryosu oluşturmaları veya ürüne güvenli ve açıklanabilir ek özellik tasarlamaları istenir.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Görsel Sanatlar, Matematik, Müzik, Sosyal Bilgiler,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 Kurban Bayramı 16–19 Mayıs 2027 tarihlerine, 19 Mayıs Atatürk’ü Anma, Gençlik ve Spor Bayramı da aynı haftaya denk gelir. Bu nedenle plan yalnızca okulda fiilen yapılabilen ders saati ölçüsünde uygulanır; eksik kalan proje adımları 33. haftaya aktarılır.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32.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