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4 / 4.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05 Ekim - 09 Ekim 2026 / 4.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1+1 (toplam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Ürün Tasarımı ve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Gerçek Yaşam Problemleri ile Tablolama / Veri Toplama ve Düzenleme / Veri Analizi ve Görselleştirme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BTYAB4. Dijital Ürün Geliştirme, BTYAB5. Veri Yönetimi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E1.2. Bağımsızlık, E1.4. Kendine İnanma, E2.1. Empati, E2.2. Sorumluluk, E2.3. Girişkenlik, E2.4. Güven, E2.5. Oyunseverlik, E3.1. Muhakeme, E3.2. Odaklanma, E3.3. Yaratıcılık, E3.4. Gerçeği Arama, E3.5. Açık Fikirlilik, E3.8. Soru Sorma, E3.9. Şüphe Duyma, E3.10. Eleştirel Bakma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fonksiyon, formül, grafik, hesaplama, hücre, hücre adı, montaj, satır, sütun, tablo, veri, video</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BTY.6.2.2. Tablolama programlarının kullanımına yönelik problemleri belirleyebilme</w:t>
              <w:br/>
              <w:t>BTY.6.2.3. Tablolama dosyasında kullanılacak verileri toplayabilme ve düzenleyebilme</w:t>
              <w:br/>
              <w:t>BTY.6.2.4. Tablolama programları kullanarak bulgulara ulaşabilme</w:t>
              <w:br/>
              <w:t>a) Tablolama programlarının kullanımına uygun gerçek yaşam durumunu belirler.</w:t>
              <w:br/>
              <w:t>b) Bağlam içerisinde veriye dayalı cevaplanabilecek araştırma soruları oluşturur.</w:t>
              <w:br/>
              <w:t>a) Tablolama dosyasında kullanılacak verileri toplama süreci için plan yapar.</w:t>
              <w:br/>
              <w:t>b) Tablolama dosyasında kullanılacak verileri elde eder.</w:t>
              <w:br/>
              <w:t>c) Tablolama dosyasında kullanılacak verileri kullanıma hazır hâle getirir.</w:t>
              <w:br/>
              <w:t>a) Bulgulara ulaşmak için uygun analiz yöntemlerini seçer.</w:t>
              <w:br/>
              <w:t>b) Tablolama programları kullanarak verileri işler.</w:t>
              <w:br/>
              <w:t>c) Tablolama programları kullanarak verileri analiz eder.</w:t>
              <w:br/>
              <w:t>ç) Tablolama programları kullanarak verileri görselleştirir.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temelli öğrenme, gösterip yaptırma, küçük grup çalışması, veri analizi, soru-cevap</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tablolama programı, örnek/anonim veri seti, çalışma kâğıdı, projeksiyon/etkileşimli tahta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D6. Dürüstlük, D16. Sorumluluk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OB7. Veri Okuryazarlığı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KB2.5. Sınıflandırma, KB2.6. Bilgi Toplama, KB2.11. Gözleme Dayalı Tahmin Etme, KB2.12. Mevcut Bilgiye/Veriye Dayalı Tahmin Etme, KB2.13. Yapılandırma, KB2.14. Yorumlama, KB2.17. Değerlendirme, KB2.20. Sentezleme</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dosya-klasör yönetimi, temel klavye kullanımı, internet, görsel-yazı-sunum dosyaları ve temel matematiksel işlemler konusunda önceki deneyimlerinin olduğu; tablo, grafik ve verileri temel düzeyde okuyabildikleri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Okul listeleri, sınıf anketleri, harçlık/alışveriş tabloları, podcast, okul duyurusu ve kısa video gibi günlük ürünler üzerinden veri düzenleme ile dijital ürün geliştirme arasında ilişki kurulur.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 – BTY.6.2.2 ve BTY.6.2.3</w:t>
            </w:r>
          </w:p>
          <w:p>
            <w:pPr>
              <w:spacing w:before="0" w:after="22" w:line="245" w:lineRule="auto"/>
            </w:pPr>
            <w:r>
              <w:rPr>
                <w:rFonts w:ascii="Arial" w:hAnsi="Arial" w:eastAsia="Arial" w:cs="Arial"/>
                <w:b w:val="0"/>
                <w:color w:val="25282B"/>
                <w:sz w:val="16"/>
              </w:rPr>
              <w:t>0–8 dk | Gerçek yaşam problemi: “Sınıfın okul kantininde en çok tercih ettiği ürünleri ve fiyat aralıklarını öğrenmek istiyoruz.” bağlamı verilir. Öğrenciler tablolama ile cevaplanabilecek araştırma soruları üretir.</w:t>
            </w:r>
          </w:p>
          <w:p>
            <w:pPr>
              <w:spacing w:before="0" w:after="22" w:line="245" w:lineRule="auto"/>
            </w:pPr>
            <w:r>
              <w:rPr>
                <w:rFonts w:ascii="Arial" w:hAnsi="Arial" w:eastAsia="Arial" w:cs="Arial"/>
                <w:b w:val="0"/>
                <w:color w:val="25282B"/>
                <w:sz w:val="16"/>
              </w:rPr>
              <w:t>8–18 dk | Veri toplama planı: Hangi değişkenlerin toplanacağı, kimlerden veri alınacağı, veri türü ve kişisel veri toplamadan nasıl çalışılacağı belirlenir. Küçük bir örneklem için kısa form hazırlanır.</w:t>
            </w:r>
          </w:p>
          <w:p>
            <w:pPr>
              <w:spacing w:before="0" w:after="22" w:line="245" w:lineRule="auto"/>
            </w:pPr>
            <w:r>
              <w:rPr>
                <w:rFonts w:ascii="Arial" w:hAnsi="Arial" w:eastAsia="Arial" w:cs="Arial"/>
                <w:b w:val="0"/>
                <w:color w:val="25282B"/>
                <w:sz w:val="16"/>
              </w:rPr>
              <w:t>18–30 dk | Veri elde etme: Sınıf içinde örnek/anonim veri toplanır veya öğretmen tarafından hazırlanmış güvenli veri seti kullanılır. Öğrenciler veri girişinde tutarlılık ve eksik veri kontrolü yapar.</w:t>
            </w:r>
          </w:p>
          <w:p>
            <w:pPr>
              <w:spacing w:before="0" w:after="22" w:line="245" w:lineRule="auto"/>
            </w:pPr>
            <w:r>
              <w:rPr>
                <w:rFonts w:ascii="Arial" w:hAnsi="Arial" w:eastAsia="Arial" w:cs="Arial"/>
                <w:b w:val="0"/>
                <w:color w:val="25282B"/>
                <w:sz w:val="16"/>
              </w:rPr>
              <w:t>30–40 dk | Veriyi hazırlama: Yazım farklılıkları, boş hücreler ve yinelenen kayıtlar fark ettirilir; öğrenciler veriyi analiz edilebilir hâle getirir.</w:t>
            </w:r>
          </w:p>
          <w:p>
            <w:pPr>
              <w:spacing w:before="0" w:after="22" w:line="245" w:lineRule="auto"/>
            </w:pPr>
            <w:r>
              <w:rPr>
                <w:rFonts w:ascii="Arial" w:hAnsi="Arial" w:eastAsia="Arial" w:cs="Arial"/>
                <w:b/>
                <w:color w:val="25282B"/>
                <w:sz w:val="16"/>
              </w:rPr>
              <w:t>2. DERS SAATİ (40 dk) – BTY.6.2.4</w:t>
            </w:r>
          </w:p>
          <w:p>
            <w:pPr>
              <w:spacing w:before="0" w:after="22" w:line="245" w:lineRule="auto"/>
            </w:pPr>
            <w:r>
              <w:rPr>
                <w:rFonts w:ascii="Arial" w:hAnsi="Arial" w:eastAsia="Arial" w:cs="Arial"/>
                <w:b w:val="0"/>
                <w:color w:val="25282B"/>
                <w:sz w:val="16"/>
              </w:rPr>
              <w:t>0–10 dk | Analiz yöntemini seçme: Araştırma sorusuna göre sayma, toplam, ortalama veya sıklık gibi uygun işlemler belirlenir. Her grubun “hangi işlem hangi soruyu cevaplar?” eşleştirmesi yapması sağlanır.</w:t>
            </w:r>
          </w:p>
          <w:p>
            <w:pPr>
              <w:spacing w:before="0" w:after="22" w:line="245" w:lineRule="auto"/>
            </w:pPr>
            <w:r>
              <w:rPr>
                <w:rFonts w:ascii="Arial" w:hAnsi="Arial" w:eastAsia="Arial" w:cs="Arial"/>
                <w:b w:val="0"/>
                <w:color w:val="25282B"/>
                <w:sz w:val="16"/>
              </w:rPr>
              <w:t>10–24 dk | Veriyi işleme: Basit formül/fonksiyon veya otomatik hesaplama araçları kullanılarak sonuçlara ulaşılır. Öğrenciler formülü ezberlemek yerine hücre başvurusu mantığını açıklar.</w:t>
            </w:r>
          </w:p>
          <w:p>
            <w:pPr>
              <w:spacing w:before="0" w:after="22" w:line="245" w:lineRule="auto"/>
            </w:pPr>
            <w:r>
              <w:rPr>
                <w:rFonts w:ascii="Arial" w:hAnsi="Arial" w:eastAsia="Arial" w:cs="Arial"/>
                <w:b w:val="0"/>
                <w:color w:val="25282B"/>
                <w:sz w:val="16"/>
              </w:rPr>
              <w:t>24–34 dk | Görselleştirme: Veriye uygun sütun/pasta/çizgi grafik türlerinden biri seçilir; grafik başlığı ve eksen/etiketler düzenlenir. Grafik türü seçiminin gerekçesi yazılır.</w:t>
            </w:r>
          </w:p>
          <w:p>
            <w:pPr>
              <w:spacing w:before="0" w:after="22" w:line="245" w:lineRule="auto"/>
            </w:pPr>
            <w:r>
              <w:rPr>
                <w:rFonts w:ascii="Arial" w:hAnsi="Arial" w:eastAsia="Arial" w:cs="Arial"/>
                <w:b w:val="0"/>
                <w:color w:val="25282B"/>
                <w:sz w:val="16"/>
              </w:rPr>
              <w:t>34–40 dk | Bulguyu yorumlama: Öğrenci grafikten iki bulgu çıkarır ve araştırma sorusunun cevaplanıp cevaplanmadığını kontrol eder.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Hücre adresleri, veri türleri ve temel işlemler için görsel yönerge ile küçük, önceden hazırlanmış veri seti verilir. Formül yazmada zorlanan öğrenci önce hazır formülü inceleyip hücre başvurularını değiştirerek çalışabilir.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araştırma sorusunu farklı grafik türleriyle görselleştirip hangisinin daha anlaşılır olduğunu gerekçelendirebilir; ek bir araştırma sorusu için yeni analiz/formül geliştirebilir.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performans görevi, dereceli puanlama anahtarı, kontrol listesi, Web 2.0/e-içerik, dijital portfolyo, öz değerlendirme ve akran değerlendirme.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Fen Bilimleri, Görsel Sanatlar, Matematik,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