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111111"/>
          <w:sz w:val="22"/>
        </w:rPr>
        <w:t>5. SINIFLAR SEÇMELİ ROBOTİK KODLAMA-I DERSİ</w:t>
      </w:r>
    </w:p>
    <w:p>
      <w:pPr>
        <w:spacing w:after="100"/>
        <w:jc w:val="center"/>
      </w:pPr>
      <w:r>
        <w:rPr>
          <w:rFonts w:ascii="Arial" w:hAnsi="Arial" w:eastAsia="Arial"/>
          <w:b/>
          <w:color w:val="111111"/>
          <w:sz w:val="24"/>
        </w:rPr>
        <w:t>GÜNLÜK DERS PLANI</w:t>
      </w:r>
    </w:p>
    <w:tbl>
      <w:tblPr>
        <w:tblW w:type="auto" w:w="0"/>
        <w:jc w:val="center"/>
        <w:tblLayout w:type="fixed"/>
        <w:tblLook w:firstColumn="1" w:firstRow="1" w:lastColumn="0" w:lastRow="0" w:noHBand="0" w:noVBand="1" w:val="04A0"/>
      </w:tblPr>
      <w:tblGrid>
        <w:gridCol w:w="1814"/>
        <w:gridCol w:w="3316"/>
        <w:gridCol w:w="1814"/>
        <w:gridCol w:w="3316"/>
      </w:tblGrid>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Okul / Kurum</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Öğretmenin Adı Soyadı</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r>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Sınıf / Şube</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5 / ................</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Plan No / Hafta</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7 / 7.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 BÖLÜM: DERS BİLGİSİ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Dersin Adı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Seçmeli Robotik Kodlama-I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Tarih</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26-30 Ekim 2026</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 ders saati (40 + 40 dakika)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RK.1.2. Kodlamaya Giriş</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2.5 Değişken Kavramı</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Kazanımlar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RK.1.2.5. Değişken Kavramı</w:t>
              <w:br/>
              <w:t>RK.1.2.5.1. Değişken kavramının tanımını yapar.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Açıklaması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ünitede öğrencilerin robotik kodlama uygulamasının önemli bir aşaması olan algoritma kavramını tüm bileşenleri ile öğrenmeleri ve günlük hayatta karşılaşılan sorunların çözümüne yönelik geliştirilen algoritmalara uygun akış diyagramları oluşturmaları amaçlanmaktadır.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İçin Önerilen 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12 ders saati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Yıllık Plandaki Etkinlik / Açıklama</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Değişken kavramı açıklanır. Değişken örnekleri verilir.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Belirli Günler / Atatürkçülük /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29 EKİM CUMHURİYET BAYRAMI • Atatürk’ün Cumhuriyet ile ilgili Sözleri: "Ey yükselen yeni nesil! İstikbal sizsiniz. Cumhuriyeti biz kurduk, onu yükseltecek ve yaşatacak sizsiniz." sözü üzerinde durulur.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 BÖLÜM: BECERİLER, YETKİNLİKLER VE DEĞERLER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Programda Yer Alan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Problem çözme</w:t>
            </w:r>
          </w:p>
          <w:p>
            <w:pPr>
              <w:spacing w:after="20" w:line="242" w:lineRule="auto"/>
              <w:ind w:left="68" w:hanging="68"/>
            </w:pPr>
            <w:r>
              <w:rPr>
                <w:rFonts w:ascii="Arial" w:hAnsi="Arial" w:eastAsia="Arial"/>
                <w:b w:val="0"/>
                <w:color w:val="111111"/>
                <w:sz w:val="17"/>
              </w:rPr>
              <w:t>• Algoritmik düşünme</w:t>
            </w:r>
          </w:p>
          <w:p>
            <w:pPr>
              <w:spacing w:after="20" w:line="242" w:lineRule="auto"/>
              <w:ind w:left="68" w:hanging="68"/>
            </w:pPr>
            <w:r>
              <w:rPr>
                <w:rFonts w:ascii="Arial" w:hAnsi="Arial" w:eastAsia="Arial"/>
                <w:b w:val="0"/>
                <w:color w:val="111111"/>
                <w:sz w:val="17"/>
              </w:rPr>
              <w:t>• Özgün düşünme</w:t>
            </w:r>
          </w:p>
          <w:p>
            <w:pPr>
              <w:spacing w:after="20" w:line="242" w:lineRule="auto"/>
              <w:ind w:left="68" w:hanging="68"/>
            </w:pPr>
            <w:r>
              <w:rPr>
                <w:rFonts w:ascii="Arial" w:hAnsi="Arial" w:eastAsia="Arial"/>
                <w:b w:val="0"/>
                <w:color w:val="111111"/>
                <w:sz w:val="17"/>
              </w:rPr>
              <w:t>• İş birlikli çalışma</w:t>
            </w:r>
          </w:p>
          <w:p>
            <w:pPr>
              <w:spacing w:after="20" w:line="242" w:lineRule="auto"/>
              <w:ind w:left="68" w:hanging="68"/>
            </w:pPr>
            <w:r>
              <w:rPr>
                <w:rFonts w:ascii="Arial" w:hAnsi="Arial" w:eastAsia="Arial"/>
                <w:b w:val="0"/>
                <w:color w:val="111111"/>
                <w:sz w:val="17"/>
              </w:rPr>
              <w:t>• Analitik düşünme</w:t>
            </w:r>
          </w:p>
          <w:p>
            <w:pPr>
              <w:spacing w:after="20" w:line="242" w:lineRule="auto"/>
              <w:ind w:left="68" w:hanging="68"/>
            </w:pPr>
            <w:r>
              <w:rPr>
                <w:rFonts w:ascii="Arial" w:hAnsi="Arial" w:eastAsia="Arial"/>
                <w:b w:val="0"/>
                <w:color w:val="111111"/>
                <w:sz w:val="17"/>
              </w:rPr>
              <w:t>• Proje geliştirme</w:t>
            </w:r>
          </w:p>
          <w:p>
            <w:pPr>
              <w:spacing w:after="20" w:line="242" w:lineRule="auto"/>
              <w:ind w:left="68" w:hanging="68"/>
            </w:pPr>
            <w:r>
              <w:rPr>
                <w:rFonts w:ascii="Arial" w:hAnsi="Arial" w:eastAsia="Arial"/>
                <w:b w:val="0"/>
                <w:color w:val="111111"/>
                <w:sz w:val="17"/>
              </w:rPr>
              <w:t>• Programlama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Haftada Öne Çıkan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Problem çözme, algoritmik düşünme, analitik düşünme, özgün düşünme ve iş birlikli çalışma.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TYÇ Yetkinlikleri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Ana dilde iletişim; dijital yetkinlik; öğrenmeyi öğrenme; sosyal ve vatandaşlıkla ilgili yetkinlikler.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Kök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Sorumluluk, saygı ve sabır.</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Temel Kabuller</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Hazırbulunuşluğu gerçekçi belirleme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Öğrencilerin günlük yaşamdan bazı örneklerle karşılaşmış olabilecekleri kabul edilir; ancak haftanın kavramlarını doğru terimlerle açıklayabildikleri varsayılmaz. Öğretim, somut örneklerden kavrama doğru ilerler.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İlk öğrenci ifadeleri / gözlem</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Öğretmen Hazırlığı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Ders ortamını ve kaynakları hazır hâle getirme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Değeri değişebilen günlük yaşam örnekleri hazırlanır: puan, sıcaklık, kalan süre, oyuncu adı gibi. “Etiketli kutu” benzetmesini destekleyecek basit görsel kullanılabilir.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Hazır materyal / teknik kontrol</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 (DEVAM)</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Ön Değerlendirme Süreci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Mevcut bilgiyi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“Bir oyundaki puanınız her turda değişiyor ama ‘puan’ adı aynı kalıyor. Bunu nasıl saklarız?” sorusu yöneltilir.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Sözlü yanıt / başlangıç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Köprü Kurma</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Önceki öğrenme ve günlük yaşamla ilişki kurma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Haftanın “2.5 Değişken Kavramı” konusu günlük yaşamdan karşılaşılan durumlarla ilişkilendirilir. Öğrencilerin kendi örneklerinden hareket edilerek yeni kavramın ne işe yaradığı ve problem çözmede nasıl kullanılabileceği üzerinde durulur.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Örnek-gerekçe bağlantısı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Değişken kavramı</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Değişken, değeri süreç içinde değişebilen ve bir adla takip edilen bilgi olarak basit örneklerle açıklanır. Puan, sıcaklık, sayaç ve kullanıcı adı gibi örnekler üzerinden ad-değer ilişkisi kurulur.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Öğrenci açıklaması / öğretmen gözlemi</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Örnekleri ayırt etme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Sabit kalan bir bilgi ile değişebilen bir bilgi karşılaştırılır. Öğrenciler hangi durumlarda değişken kullanmanın anlamlı olacağını tartışır.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Öğrenci açıklaması / öğretmen gözlemi</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Değişken tasarlama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Öğrencilere küçük bir oyun veya günlük yaşam senaryosu verilir. Senaryoda izlenmesi gereken değişkenler belirlenir ve her değişkene anlamlı bir ad verilir.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Pekiştirme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Bir değişkenin değerinin süreç içinde nasıl değişebileceği sözlü olarak izlenir; örneğin “puan = 0” ile başlayıp doğru cevaplarla artması gibi basit durumlar ele alınır.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Öğrenci açıklaması / öğretmen gözlemi</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Kapanış ve Öğrenme Kanıtı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Haftanın çekirdek hedefini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Dersin sonunda öğrencilerden haftanın temel öğrenmesini kısa bir cümle, örnek, algoritma, blok kod veya uygulama çıktısı ile göstermeleri istenir. Süre elvermezse bu kısa kontrol sonraki dersin başında tamamlanabilir. Öğrenciden kısa bir oyun senaryosunda tutulması gereken iki değişkeni belirlemesi ve neyi temsil ettiklerini açıklaması istenir.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Çıkış ifadesi / ürün / kısa kontrol</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Destekleme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Öğrenme hızındaki farklılıklara uyum sağlama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Destek gereken öğrenciler için görsel ipuçları, örnek başlangıçları ve adım kartları kullanılabilir; öğrenci sözlü veya yazılı açıklama seçeneklerinden uygun olanını kullanabilir.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Destekli öğrenci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Zenginleştirme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Öğrenileni yeni duruma transfer etme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Kazanımı erken tamamlayan öğrencilerden aynı kavramı farklı bir günlük yaşam örneğine uygulamaları, karşı örnek üretmeleri veya çözümünü gerekçelendirmeleri istenebilir.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Yeni örnek / geliştirilmiş ürün</w:t>
            </w:r>
          </w:p>
        </w:tc>
      </w:tr>
    </w:tbl>
    <w:p>
      <w:pPr>
        <w:pageBreakBefore/>
        <w:spacing w:after="0" w:before="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IV. BÖLÜM: ÖLÇME VE DEĞERLENDİRME</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Süreç İçi Değerlendirme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değişken kavramını açıklaması, değişebilen bilgi örneklerini ayırt etmesi ve uygun değişken adı önermesi gözlenir.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 / Uygulama Kontrolü</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Öğrenciden kısa bir oyun senaryosunda tutulması gereken iki değişkeni belirlemesi ve neyi temsil ettiklerini açıklaması istenir.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Başarı Göstergesi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değişkeni değeri değişebilen bilgi olarak açıklayabilmesi ve günlük yaşam/oyun örneğiyle ilişkilendirebilmesi temel başarı göstergesidir.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 BÖLÜM: DERSİN DİĞER DERSLERLE İLİŞKİSİ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Türkçe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Kavramların doğru ve anlaşılır biçimde sözlü/yazılı açıklanması; neden-sonuç ve gerekçelendirme ifadelerinin kullanılması desteklenir.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Matematik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Sıralama, koşul, tekrar, değişken veya sembolik gösterim içeren konularda matematiksel düşünme ve mantıksal ilişkilendirme kullanılabilir.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Fen Bilimleri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Teknolojik sistemlerin amaç, işlev ve günlük yaşamla ilişkisi uygun örneklerde fen ve teknoloji bağlamıyla ilişkilendirilebilir.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VI. BÖLÜM: PLANIN UYGULANMASIYLA İLGİLİ DİĞER AÇIKLAMALAR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İçerik ve Uygulama Sınırı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İçerik RK.1.2.5.1 kazanımıyla sınırlandırılır; değişken bloklarının uygulamalı kullanımı daha sonraki blok kodlama çalışmalarına bırakılır.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Uygulama Esnekliği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Ders akışı öğrencilerin soruları, merakı, sınıf içi geçişler, teknik koşullar ve öğrenme hızına göre esnetilebilir. Çekirdek kazanım ve öğrenme kanıtı korunmak koşuluyla örnek, etkinlik ve paylaşım sayısı öğretmen tarafından düzenlenir.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Teknik Alternatif</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Etkileşimli tahta veya internet erişimi kullanılamıyorsa basılı görseller, tahta ve öğrenci defteri üzerinden aynı kavramsal akış sürdürülebilir.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Kaynak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T.C. Millî Eğitim Bakanlığı, Temel Eğitim Genel Müdürlüğü, Robotik Kodlama Dersi Öğretim Programı (I-II), Ankara 2023; Seçmeli Robotik Kodlama 1. Seviye 2026-2027 Ünitelendirilmiş Yıllık Ders Planı.</w:t>
            </w:r>
          </w:p>
        </w:tc>
      </w:tr>
    </w:tbl>
    <w:p>
      <w:pPr>
        <w:spacing w:after="4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Dersi Planlayan Öğretmen</w:t>
            </w:r>
            <w:r>
              <w:rPr>
                <w:rFonts w:ascii="Arial" w:hAnsi="Arial" w:eastAsia="Arial"/>
                <w:b w:val="0"/>
                <w:color w:val="2F2F2F"/>
                <w:sz w:val="17"/>
              </w:rPr>
              <w:br/>
              <w:t>Ad Soyad: ................................................</w:t>
            </w:r>
            <w:r>
              <w:rPr>
                <w:rFonts w:ascii="Arial" w:hAnsi="Arial" w:eastAsia="Arial"/>
                <w:b w:val="0"/>
                <w:color w:val="2F2F2F"/>
                <w:sz w:val="17"/>
              </w:rPr>
              <w:br/>
              <w:t>İmza: ........................................................</w:t>
            </w:r>
          </w:p>
        </w:tc>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UYGUNDUR</w:t>
            </w:r>
            <w:r>
              <w:rPr>
                <w:rFonts w:ascii="Arial" w:hAnsi="Arial" w:eastAsia="Arial"/>
                <w:b w:val="0"/>
                <w:color w:val="2F2F2F"/>
                <w:sz w:val="17"/>
              </w:rPr>
              <w:br/>
              <w:t>Okul Müdürü</w:t>
            </w:r>
            <w:r>
              <w:rPr>
                <w:rFonts w:ascii="Arial" w:hAnsi="Arial" w:eastAsia="Arial"/>
                <w:b w:val="0"/>
                <w:color w:val="2F2F2F"/>
                <w:sz w:val="17"/>
              </w:rPr>
              <w:br/>
              <w:t>Ad Soyad: ................................................</w:t>
            </w:r>
            <w:r>
              <w:rPr>
                <w:rFonts w:ascii="Arial" w:hAnsi="Arial" w:eastAsia="Arial"/>
                <w:b w:val="0"/>
                <w:color w:val="2F2F2F"/>
                <w:sz w:val="17"/>
              </w:rPr>
              <w:br/>
              <w:t>İmza: ........................................................</w:t>
            </w:r>
          </w:p>
        </w:tc>
      </w:tr>
    </w:tbl>
    <w:sectPr w:rsidR="00FC693F" w:rsidRPr="0006063C" w:rsidSect="00034616">
      <w:headerReference w:type="default" r:id="rId9"/>
      <w:footerReference w:type="default" r:id="rId10"/>
      <w:pgSz w:w="12240" w:h="15840"/>
      <w:pgMar w:top="652" w:right="709" w:bottom="652" w:left="70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b w:val="0"/>
        <w:color w:val="666666"/>
        <w:sz w:val="15"/>
      </w:rPr>
      <w:t>Seçmeli Robotik Kodlama-I • 7.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b/>
        <w:color w:val="666666"/>
        <w:sz w:val="16"/>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