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Grup Gözlem Formu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Araştırma · Sınıflandırma · İş birliği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Grup / Alan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Üyeler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Tarih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 / ..... / 2026</w:t>
            </w:r>
          </w:p>
        </w:tc>
      </w:tr>
    </w:tbl>
    <w:p>
      <w:pPr>
        <w:spacing w:before="0" w:after="20" w:line="257" w:lineRule="auto"/>
      </w:pP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Her ölçüt için gözlediğin düzeyi işaretle. Gerektiğinde kısa bir kanıt notu yaz.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63"/>
        <w:gridCol w:w="1247"/>
        <w:gridCol w:w="1247"/>
        <w:gridCol w:w="1304"/>
      </w:tblGrid>
      <w:tr>
        <w:trPr>
          <w:tblHeader/>
        </w:trPr>
        <w:tc>
          <w:tcPr>
            <w:tcW w:type="dxa" w:w="6463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Gözlenen davranış</w:t>
            </w:r>
          </w:p>
        </w:tc>
        <w:tc>
          <w:tcPr>
            <w:tcW w:type="dxa" w:w="1247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Tam</w:t>
            </w:r>
          </w:p>
        </w:tc>
        <w:tc>
          <w:tcPr>
            <w:tcW w:type="dxa" w:w="1247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Kısmen</w:t>
            </w:r>
          </w:p>
        </w:tc>
        <w:tc>
          <w:tcPr>
            <w:tcW w:type="dxa" w:w="1304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Henüz</w:t>
            </w:r>
          </w:p>
        </w:tc>
      </w:tr>
      <w:tr>
        <w:trPr>
          <w:trHeight w:val="1077" w:hRule="atLeast"/>
          <w:cantSplit/>
        </w:trPr>
        <w:tc>
          <w:tcPr>
            <w:tcW w:type="dxa" w:w="6463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Uygun kaynakları kullanır ve önemli bilgileri kaydeder.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</w:tr>
      <w:tr>
        <w:trPr>
          <w:trHeight w:val="1077" w:hRule="atLeast"/>
          <w:cantSplit/>
        </w:trPr>
        <w:tc>
          <w:tcPr>
            <w:tcW w:type="dxa" w:w="6463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Teknolojilerin işlevlerini doğru açıklar.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</w:tr>
      <w:tr>
        <w:trPr>
          <w:trHeight w:val="1077" w:hRule="atLeast"/>
          <w:cantSplit/>
        </w:trPr>
        <w:tc>
          <w:tcPr>
            <w:tcW w:type="dxa" w:w="6463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Kullanım alanını somut örnekle gerekçelendirir.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</w:tr>
      <w:tr>
        <w:trPr>
          <w:trHeight w:val="1077" w:hRule="atLeast"/>
          <w:cantSplit/>
        </w:trPr>
        <w:tc>
          <w:tcPr>
            <w:tcW w:type="dxa" w:w="6463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Toplumsal faydayı ve olası sınırlılığı ele alır.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</w:tr>
      <w:tr>
        <w:trPr>
          <w:trHeight w:val="1077" w:hRule="atLeast"/>
          <w:cantSplit/>
        </w:trPr>
        <w:tc>
          <w:tcPr>
            <w:tcW w:type="dxa" w:w="6463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Görev paylaşır; diğer üyeleri dinler ve katkı sağlar.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24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  <w:tc>
          <w:tcPr>
            <w:tcW w:type="dxa" w:w="130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☐</w:t>
            </w:r>
          </w:p>
        </w:tc>
      </w:tr>
    </w:tbl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Kanıt ve geri bildirim</w:t>
      </w:r>
    </w:p>
    <w:p>
      <w:pPr>
        <w:spacing w:before="0" w:after="80" w:line="257" w:lineRule="auto"/>
      </w:pPr>
      <w:r>
        <w:rPr>
          <w:rFonts w:ascii="Comic Neue" w:hAnsi="Comic Neue" w:eastAsia="Comic Neue"/>
          <w:b/>
          <w:color w:val="17223A"/>
          <w:sz w:val="20"/>
        </w:rPr>
        <w:t>Gözlenen güçlü yön: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120" w:after="40" w:line="257" w:lineRule="auto"/>
      </w:pPr>
      <w:r>
        <w:rPr>
          <w:rFonts w:ascii="Comic Neue" w:hAnsi="Comic Neue" w:eastAsia="Comic Neue"/>
          <w:b/>
          <w:color w:val="17223A"/>
          <w:sz w:val="20"/>
        </w:rPr>
        <w:t>Bir sonraki çalışmada geliştirilecek nokta: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cantSplit/>
        </w:trPr>
        <w:tc>
          <w:tcPr>
            <w:tcW w:type="dxa" w:w="1026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05" w:type="dxa"/>
              <w:start w:w="150" w:type="dxa"/>
              <w:bottom w:w="105" w:type="dxa"/>
              <w:end w:w="15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8"/>
              </w:rPr>
              <w:t>Bu form, süreç izleme içindir. Dereceler otomatik olarak sınav puanına dönüştürülmez. Program, araştırma, sınıflandırma doğruluğu ve toplumsal sorumluluk farkındalığı için gözlem formu kullanılmasını önerir.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 Gözlem Formu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