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60" w:line="257" w:lineRule="auto"/>
      </w:pPr>
      <w:r>
        <w:rPr>
          <w:rFonts w:ascii="Comic Neue" w:hAnsi="Comic Neue" w:eastAsia="Comic Neue"/>
          <w:b/>
          <w:color w:val="17223A"/>
          <w:sz w:val="46"/>
        </w:rPr>
        <w:t>Dereceli Puanlama Anahtarı</w:t>
      </w:r>
    </w:p>
    <w:p>
      <w:pPr>
        <w:spacing w:before="0" w:after="180" w:line="257" w:lineRule="auto"/>
      </w:pPr>
      <w:r>
        <w:rPr>
          <w:rFonts w:ascii="Comic Neue" w:hAnsi="Comic Neue" w:eastAsia="Comic Neue"/>
          <w:b w:val="0"/>
          <w:color w:val="505B6E"/>
          <w:sz w:val="21"/>
        </w:rPr>
        <w:t>Araştırma · Mini-poster · Kısa sunum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272"/>
        <w:gridCol w:w="3402"/>
        <w:gridCol w:w="4252"/>
      </w:tblGrid>
      <w:tr>
        <w:trPr>
          <w:trHeight w:val="408" w:hRule="atLeast"/>
          <w:cantSplit/>
        </w:trPr>
        <w:tc>
          <w:tcPr>
            <w:tcW w:type="dxa" w:w="2268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Öğrenci / Grup:</w:t>
            </w:r>
          </w:p>
        </w:tc>
        <w:tc>
          <w:tcPr>
            <w:tcW w:type="dxa" w:w="5272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</w:r>
          </w:p>
        </w:tc>
        <w:tc>
          <w:tcPr>
            <w:tcW w:type="dxa" w:w="3402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Ürün / tarih:</w:t>
            </w:r>
          </w:p>
        </w:tc>
        <w:tc>
          <w:tcPr>
            <w:tcW w:type="dxa" w:w="4252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</w:r>
          </w:p>
        </w:tc>
      </w:tr>
    </w:tbl>
    <w:p>
      <w:pPr>
        <w:spacing w:before="100" w:after="140" w:line="257" w:lineRule="auto"/>
      </w:pPr>
      <w:r>
        <w:rPr>
          <w:rFonts w:ascii="Comic Neue" w:hAnsi="Comic Neue" w:eastAsia="Comic Neue"/>
          <w:b w:val="0"/>
          <w:color w:val="505B6E"/>
          <w:sz w:val="20"/>
        </w:rPr>
        <w:t>Her ölçütte gözlenen en uygun düzeyi işaretle. Toplam, gelişimi izlemek için kullanılan 20 puanlık ham ölçektir.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231"/>
        <w:gridCol w:w="3231"/>
        <w:gridCol w:w="3231"/>
        <w:gridCol w:w="3231"/>
      </w:tblGrid>
      <w:tr>
        <w:trPr>
          <w:tblHeader/>
        </w:trPr>
        <w:tc>
          <w:tcPr>
            <w:tcW w:type="dxa" w:w="2268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19"/>
              </w:rPr>
              <w:t>Ölçüt</w:t>
            </w:r>
          </w:p>
        </w:tc>
        <w:tc>
          <w:tcPr>
            <w:tcW w:type="dxa" w:w="3231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19"/>
              </w:rPr>
              <w:t>4 · Çok iyi</w:t>
            </w:r>
          </w:p>
        </w:tc>
        <w:tc>
          <w:tcPr>
            <w:tcW w:type="dxa" w:w="3231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19"/>
              </w:rPr>
              <w:t>3 · İyi</w:t>
            </w:r>
          </w:p>
        </w:tc>
        <w:tc>
          <w:tcPr>
            <w:tcW w:type="dxa" w:w="3231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19"/>
              </w:rPr>
              <w:t>2 · Gelişiyor</w:t>
            </w:r>
          </w:p>
        </w:tc>
        <w:tc>
          <w:tcPr>
            <w:tcW w:type="dxa" w:w="3231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19"/>
              </w:rPr>
              <w:t>1 · Destek gerekli</w:t>
            </w:r>
          </w:p>
        </w:tc>
      </w:tr>
      <w:tr>
        <w:trPr>
          <w:trHeight w:val="1259" w:hRule="atLeast"/>
          <w:cantSplit/>
        </w:trPr>
        <w:tc>
          <w:tcPr>
            <w:tcW w:type="dxa" w:w="2268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19"/>
              </w:rPr>
              <w:t>Bilgi toplama ve doğruluk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Kaynakları uygun seçer; bilgileri doğrular ve doğru kavramlarla açıklar.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Bilgiler genel olarak doğru; küçük eksikler bulunur.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Kaynak veya bilgi doğruluğunda önemli eksikler vardır.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Kaynak belirtilmez ya da temel bilgiler belirgin biçimde hatalıdır.</w:t>
            </w:r>
          </w:p>
        </w:tc>
      </w:tr>
      <w:tr>
        <w:trPr>
          <w:trHeight w:val="1259" w:hRule="atLeast"/>
          <w:cantSplit/>
        </w:trPr>
        <w:tc>
          <w:tcPr>
            <w:tcW w:type="dxa" w:w="2268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19"/>
              </w:rPr>
              <w:t>Bilgileri düzenleme ve sınıflandırma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Bilgileri açık düzenler; kullanım alanını doğru ve gerekçeli belirler.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Düzen ve sınıflandırma doğru; gerekçe kısmen yeterlidir.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Düzen dağınık veya bazı sınıflandırmalar gerekçesizdir.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Bilgiler ilişkilendirilemez; sınıflandırma ölçütü belirsizdir.</w:t>
            </w:r>
          </w:p>
        </w:tc>
      </w:tr>
      <w:tr>
        <w:trPr>
          <w:trHeight w:val="1259" w:hRule="atLeast"/>
          <w:cantSplit/>
        </w:trPr>
        <w:tc>
          <w:tcPr>
            <w:tcW w:type="dxa" w:w="2268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19"/>
              </w:rPr>
              <w:t>Günlük yaşam ve toplumsal fayda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İşlevi somut örnekle açıklar; fayda ve sınırlılığı dengeli değerlendirir.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Günlük yaşam ilişkisi doğru; fayda ve sınırlılık belirtilir.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İlişki yüzeysel; değerlendirme tek yönlü veya eksiktir.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Günlük yaşam bağlantısı kurulamaz; etki değerlendirmesi yoktur.</w:t>
            </w:r>
          </w:p>
        </w:tc>
      </w:tr>
      <w:tr>
        <w:trPr>
          <w:trHeight w:val="1259" w:hRule="atLeast"/>
          <w:cantSplit/>
        </w:trPr>
        <w:tc>
          <w:tcPr>
            <w:tcW w:type="dxa" w:w="2268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19"/>
              </w:rPr>
              <w:t>Sunum ve iletişim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Anlatım anlaşılır, düzenli ve süreye uygun; soruları gerekçeli yanıtlar.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Anlatım genel olarak açık; küçük düzen veya süre sorunları vardır.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Anlatımda önemli eksikler vardır; soru yanıtları sınırlıdır.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Bulgular anlaşılır biçimde aktarılamaz veya sunum tamamlanmaz.</w:t>
            </w:r>
          </w:p>
        </w:tc>
      </w:tr>
      <w:tr>
        <w:trPr>
          <w:trHeight w:val="1259" w:hRule="atLeast"/>
          <w:cantSplit/>
        </w:trPr>
        <w:tc>
          <w:tcPr>
            <w:tcW w:type="dxa" w:w="2268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19"/>
              </w:rPr>
              <w:t>Yaratıcı düşünme ve ürün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Konuya uygun özgün bağlantı kurar; görsel/ürün bilgiyi açıkça destekler.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Ürün amaca uygundur; sınırlı özgün bağlantılar içerir.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Ürün kısmen amaca uygundur; görseller bilgiyi yeterince desteklemez.</w:t>
            </w:r>
          </w:p>
        </w:tc>
        <w:tc>
          <w:tcPr>
            <w:tcW w:type="dxa" w:w="32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9"/>
              </w:rPr>
              <w:t>Ürün tamamlanmamış veya seçilen görsellerin içerikle ilişkisi kurulamaz.</w:t>
            </w:r>
          </w:p>
        </w:tc>
      </w:tr>
    </w:tbl>
    <w:p>
      <w:pPr>
        <w:spacing w:before="160" w:after="100" w:line="257" w:lineRule="auto"/>
      </w:pPr>
      <w:r>
        <w:rPr>
          <w:rFonts w:ascii="Comic Neue" w:hAnsi="Comic Neue" w:eastAsia="Comic Neue"/>
          <w:b/>
          <w:color w:val="17223A"/>
          <w:sz w:val="20"/>
        </w:rPr>
        <w:t>Puanlar:  Bilgi ____  +  Düzen / sınıflandırma ____  +  Günlük yaşam ____  +  Sunum ____  +  Yaratıcılık ____   =   ____ / 20</w:t>
      </w:r>
    </w:p>
    <w:p>
      <w:pPr>
        <w:spacing w:before="20" w:after="100" w:line="257" w:lineRule="auto"/>
      </w:pPr>
      <w:r>
        <w:rPr>
          <w:rFonts w:ascii="Comic Neue" w:hAnsi="Comic Neue" w:eastAsia="Comic Neue"/>
          <w:b w:val="0"/>
          <w:color w:val="17223A"/>
          <w:sz w:val="20"/>
        </w:rPr>
        <w:t>Güçlü yön: ___________________________________________________________________________________________________________</w:t>
      </w:r>
    </w:p>
    <w:p>
      <w:pPr>
        <w:spacing w:before="20" w:after="40" w:line="257" w:lineRule="auto"/>
      </w:pPr>
      <w:r>
        <w:rPr>
          <w:rFonts w:ascii="Comic Neue" w:hAnsi="Comic Neue" w:eastAsia="Comic Neue"/>
          <w:b w:val="0"/>
          <w:color w:val="17223A"/>
          <w:sz w:val="20"/>
        </w:rPr>
        <w:t>Bir sonraki adım: _____________________________________________________________________________________________________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79" w:right="822" w:bottom="737" w:left="822" w:header="31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mic Neue" w:hAnsi="Comic Neue" w:eastAsia="Comic Neue"/>
        <w:b w:val="0"/>
        <w:color w:val="505B6E"/>
        <w:sz w:val="17"/>
      </w:rPr>
      <w:t xml:space="preserve">KeskinLab  ·  BTY.6.1.1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omic Neue" w:hAnsi="Comic Neue" w:eastAsia="Comic Neue"/>
        <w:b/>
        <w:color w:val="9F2D45"/>
        <w:sz w:val="22"/>
      </w:rPr>
      <w:t>━</w:t>
    </w:r>
    <w:r>
      <w:rPr>
        <w:rFonts w:ascii="Comic Neue" w:hAnsi="Comic Neue" w:eastAsia="Comic Neue"/>
        <w:b/>
        <w:color w:val="17223A"/>
        <w:sz w:val="20"/>
      </w:rPr>
      <w:t xml:space="preserve">  6. SINIF BTY · HAFTA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Comic Neue" w:hAnsi="Comic Neue" w:eastAsia="Comic Neue"/>
      <w:color w:val="172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mic Neue" w:hAnsi="Comic Neue" w:eastAsia="Comic Neue"/>
      <w:color w:val="17223A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Dereceli Puanlama Anahtarı</dc:title>
  <dc:subject>6. Sınıf BTY · Hafta 01</dc:subject>
  <dc:creator>KeskinLab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