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60" w:line="257" w:lineRule="auto"/>
      </w:pPr>
      <w:r>
        <w:rPr>
          <w:rFonts w:ascii="Comic Neue" w:hAnsi="Comic Neue" w:eastAsia="Comic Neue"/>
          <w:b/>
          <w:color w:val="17223A"/>
          <w:sz w:val="46"/>
        </w:rPr>
        <w:t>Kullanım Alanına Göre Sınıflandır</w:t>
      </w:r>
    </w:p>
    <w:p>
      <w:pPr>
        <w:spacing w:before="0" w:after="180" w:line="257" w:lineRule="auto"/>
      </w:pPr>
      <w:r>
        <w:rPr>
          <w:rFonts w:ascii="Comic Neue" w:hAnsi="Comic Neue" w:eastAsia="Comic Neue"/>
          <w:b w:val="0"/>
          <w:color w:val="505B6E"/>
          <w:sz w:val="21"/>
        </w:rPr>
        <w:t>Cihazın adına değil, örnekteki kullanım amacına bak.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937"/>
      </w:tblGrid>
      <w:tr>
        <w:trPr>
          <w:trHeight w:val="408" w:hRule="atLeast"/>
          <w:cantSplit/>
        </w:trPr>
        <w:tc>
          <w:tcPr>
            <w:tcW w:type="dxa" w:w="2324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8"/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Ad Soyad / Grup</w:t>
            </w:r>
          </w:p>
        </w:tc>
        <w:tc>
          <w:tcPr>
            <w:tcW w:type="dxa" w:w="7937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................................................................................</w:t>
            </w:r>
          </w:p>
        </w:tc>
      </w:tr>
    </w:tbl>
    <w:p>
      <w:pPr>
        <w:spacing w:before="0" w:after="20" w:line="257" w:lineRule="auto"/>
      </w:pP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Alanlar: iletişim · eğitim · sağlık · eğlence · sanayi. Her durum için uygun alanı yaz ve gerekçelendir. Birden fazla alan mümkünse seçimini açıkla.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2268"/>
        <w:gridCol w:w="3742"/>
      </w:tblGrid>
      <w:tr>
        <w:trPr>
          <w:tblHeader/>
        </w:trPr>
        <w:tc>
          <w:tcPr>
            <w:tcW w:type="dxa" w:w="4252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Kullanım durumu</w:t>
            </w:r>
          </w:p>
        </w:tc>
        <w:tc>
          <w:tcPr>
            <w:tcW w:type="dxa" w:w="2268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Birincil alan</w:t>
            </w:r>
          </w:p>
        </w:tc>
        <w:tc>
          <w:tcPr>
            <w:tcW w:type="dxa" w:w="3742"/>
            <w:vAlign w:val="center"/>
            <w:shd w:fill="EAF4FB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/>
                <w:color w:val="17223A"/>
                <w:sz w:val="20"/>
              </w:rPr>
              <w:t>Neden bu alan?</w:t>
            </w:r>
          </w:p>
        </w:tc>
      </w:tr>
      <w:tr>
        <w:trPr>
          <w:trHeight w:val="1502" w:hRule="atLeast"/>
          <w:cantSplit/>
        </w:trPr>
        <w:tc>
          <w:tcPr>
            <w:tcW w:type="dxa" w:w="425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Bir öğrenci, VR ortamında Güneş Sistemi’ni inceleyerek gezegenleri öğreniyor.</w:t>
            </w:r>
          </w:p>
        </w:tc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74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1502" w:hRule="atLeast"/>
          <w:cantSplit/>
        </w:trPr>
        <w:tc>
          <w:tcPr>
            <w:tcW w:type="dxa" w:w="425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Bir çalışan, akıllı saatiyle iş arkadaşından gelen mesajı okuyor.</w:t>
            </w:r>
          </w:p>
        </w:tc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74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1502" w:hRule="atLeast"/>
          <w:cantSplit/>
        </w:trPr>
        <w:tc>
          <w:tcPr>
            <w:tcW w:type="dxa" w:w="425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Bir sağlık uzmanı, hastanın izlem verilerini değerlendirerek kararına destek alıyor.</w:t>
            </w:r>
          </w:p>
        </w:tc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74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1502" w:hRule="atLeast"/>
          <w:cantSplit/>
        </w:trPr>
        <w:tc>
          <w:tcPr>
            <w:tcW w:type="dxa" w:w="425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Bir üretim hattında kamera ve yazılım, hatalı parçaları kontrol ediyor.</w:t>
            </w:r>
          </w:p>
        </w:tc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74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1502" w:hRule="atLeast"/>
          <w:cantSplit/>
        </w:trPr>
        <w:tc>
          <w:tcPr>
            <w:tcW w:type="dxa" w:w="425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İki arkadaş farklı şehirlerden görüntülü görüşme yapıyor.</w:t>
            </w:r>
          </w:p>
        </w:tc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74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1502" w:hRule="atLeast"/>
          <w:cantSplit/>
        </w:trPr>
        <w:tc>
          <w:tcPr>
            <w:tcW w:type="dxa" w:w="425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  <w:t>Bir müzede ziyaretçi, AR ile tarihî bir eserin dijital canlandırmasını izliyor.</w:t>
            </w:r>
          </w:p>
        </w:tc>
        <w:tc>
          <w:tcPr>
            <w:tcW w:type="dxa" w:w="2268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  <w:tc>
          <w:tcPr>
            <w:tcW w:type="dxa" w:w="3742"/>
            <w:vAlign w:val="center"/>
            <w:tcBorders>
              <w:top w:val="single" w:sz="5" w:color="D6DEE6"/>
              <w:bottom w:val="single" w:sz="5" w:color="D6DEE6"/>
              <w:left w:val="single" w:sz="5" w:color="D6DEE6"/>
              <w:right w:val="single" w:sz="5" w:color="D6DEE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p>
      <w:pPr>
        <w:keepNext/>
        <w:spacing w:before="160" w:after="80" w:line="257" w:lineRule="auto"/>
      </w:pPr>
      <w:r>
        <w:rPr>
          <w:rFonts w:ascii="Comic Neue" w:hAnsi="Comic Neue" w:eastAsia="Comic Neue"/>
          <w:b/>
          <w:color w:val="17223A"/>
          <w:sz w:val="28"/>
        </w:rPr>
        <w:t>Birden fazla alana girebilen örnek</w:t>
      </w:r>
    </w:p>
    <w:p>
      <w:pPr>
        <w:spacing w:before="0" w:after="80" w:line="257" w:lineRule="auto"/>
      </w:pPr>
      <w:r>
        <w:rPr>
          <w:rFonts w:ascii="Comic Neue" w:hAnsi="Comic Neue" w:eastAsia="Comic Neue"/>
          <w:b w:val="0"/>
          <w:color w:val="17223A"/>
          <w:sz w:val="20"/>
        </w:rPr>
        <w:t>Yukarıdaki durumlardan birini seç. Başka bir kullanım amacıyla hangi alana girebilir? Kısa bir örnek yaz.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61"/>
      </w:tblGrid>
      <w:tr>
        <w:trPr>
          <w:trHeight w:val="595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0261"/>
            <w:vAlign w:val="center"/>
            <w:tcBorders>
              <w:bottom w:val="single" w:sz="5" w:color="D6DEE6"/>
            </w:tcBorders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0" w:after="0" w:line="250" w:lineRule="auto"/>
            </w:pPr>
            <w:r/>
            <w:r>
              <w:rPr>
                <w:rFonts w:ascii="Comic Neue" w:hAnsi="Comic Neue" w:eastAsia="Comic Neue"/>
                <w:b w:val="0"/>
                <w:color w:val="17223A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22" w:bottom="737" w:left="822" w:header="312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mic Neue" w:hAnsi="Comic Neue" w:eastAsia="Comic Neue"/>
        <w:b w:val="0"/>
        <w:color w:val="505B6E"/>
        <w:sz w:val="17"/>
      </w:rPr>
      <w:t xml:space="preserve">KeskinLab  ·  BTY.6.1.1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omic Neue" w:hAnsi="Comic Neue" w:eastAsia="Comic Neue"/>
        <w:b/>
        <w:color w:val="9F2D45"/>
        <w:sz w:val="22"/>
      </w:rPr>
      <w:t>━</w:t>
    </w:r>
    <w:r>
      <w:rPr>
        <w:rFonts w:ascii="Comic Neue" w:hAnsi="Comic Neue" w:eastAsia="Comic Neue"/>
        <w:b/>
        <w:color w:val="17223A"/>
        <w:sz w:val="20"/>
      </w:rPr>
      <w:t xml:space="preserve">  6. SINIF BTY · HAFTA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Comic Neue" w:hAnsi="Comic Neue" w:eastAsia="Comic Neue"/>
      <w:color w:val="172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mic Neue" w:hAnsi="Comic Neue" w:eastAsia="Comic Neue"/>
      <w:b/>
      <w:bCs/>
      <w:color w:val="17223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mic Neue" w:hAnsi="Comic Neue" w:eastAsia="Comic Neue"/>
      <w:color w:val="17223A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Kullanım Alanına Göre Sınıflandır</dc:title>
  <dc:subject>6. Sınıf BTY · Hafta 01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