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Açık Uçlu Değerlendirme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Hafta 01 · Bireysel öğrenme kanıtı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Ad Soyad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Tarih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 / ..... / 2026</w:t>
            </w:r>
          </w:p>
        </w:tc>
      </w:tr>
    </w:tbl>
    <w:p>
      <w:pPr>
        <w:spacing w:before="0" w:after="20" w:line="257" w:lineRule="auto"/>
      </w:pPr>
    </w:p>
    <w:p>
      <w:pPr>
        <w:spacing w:before="100" w:after="60" w:line="257" w:lineRule="auto"/>
      </w:pPr>
      <w:r>
        <w:rPr>
          <w:rFonts w:ascii="Comic Neue" w:hAnsi="Comic Neue" w:eastAsia="Comic Neue"/>
          <w:b/>
          <w:color w:val="17223A"/>
          <w:sz w:val="21"/>
        </w:rPr>
        <w:t>1. Seçtiğin yenilikçi teknolojinin adını yaz ve temel işlevini açıkla.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00" w:after="60" w:line="257" w:lineRule="auto"/>
      </w:pPr>
      <w:r>
        <w:rPr>
          <w:rFonts w:ascii="Comic Neue" w:hAnsi="Comic Neue" w:eastAsia="Comic Neue"/>
          <w:b/>
          <w:color w:val="17223A"/>
          <w:sz w:val="21"/>
        </w:rPr>
        <w:t>2. Bu teknolojiyi somut bir kullanım alanıyla ilişkilendir. Neden o alana girdiğini açıkla.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00" w:after="60" w:line="257" w:lineRule="auto"/>
      </w:pPr>
      <w:r>
        <w:rPr>
          <w:rFonts w:ascii="Comic Neue" w:hAnsi="Comic Neue" w:eastAsia="Comic Neue"/>
          <w:b/>
          <w:color w:val="17223A"/>
          <w:sz w:val="21"/>
        </w:rPr>
        <w:t>3. Aynı teknoloji başka hangi alanda kullanılabilir? Farklı bir kullanım durumu oluştur.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spacing w:before="100" w:after="60" w:line="257" w:lineRule="auto"/>
      </w:pPr>
      <w:r>
        <w:rPr>
          <w:rFonts w:ascii="Comic Neue" w:hAnsi="Comic Neue" w:eastAsia="Comic Neue"/>
          <w:b/>
          <w:color w:val="17223A"/>
          <w:sz w:val="21"/>
        </w:rPr>
        <w:t>4. Seçtiğin teknolojinin toplum üzerindeki önemli bir yararını ve bir sınırlılığını gerekçelendir.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811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Açık Uçlu Değerlendirme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