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sz w:val="20"/>
        </w:rPr>
        <w:t>2026-2027 EĞİTİM – ÖĞRETİM YILI ………………………………… ORTAOKULU</w:t>
      </w:r>
    </w:p>
    <w:p>
      <w:pPr>
        <w:spacing w:after="60"/>
        <w:jc w:val="center"/>
      </w:pPr>
      <w:r>
        <w:rPr>
          <w:rFonts w:ascii="Arial" w:hAnsi="Arial" w:eastAsia="Arial"/>
          <w:b/>
          <w:sz w:val="22"/>
        </w:rPr>
        <w:t>5. SINIF BİLİŞİM TEKNOLOJİLERİ VE YAZILIM DERSİ GÜNLÜK DERS PLANI</w:t>
      </w:r>
    </w:p>
    <w:p>
      <w:pPr>
        <w:pStyle w:val="SectionHead"/>
        <w:jc w:val="left"/>
      </w:pPr>
      <w:r>
        <w:rPr>
          <w:color w:val="1F4E78"/>
        </w:rPr>
        <w:t>I. BÖLÜM: DERS BİLGİSİ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2636"/>
        <w:gridCol w:w="2636"/>
        <w:gridCol w:w="2636"/>
        <w:gridCol w:w="2636"/>
      </w:tblGrid>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Dersin Adı</w:t>
            </w:r>
          </w:p>
        </w:tc>
        <w:tc>
          <w:tcPr>
            <w:tcW w:type="dxa" w:w="3969"/>
            <w:vAlign w:val="center"/>
            <w:tcMar>
              <w:top w:w="55" w:type="dxa"/>
              <w:start w:w="70" w:type="dxa"/>
              <w:bottom w:w="55" w:type="dxa"/>
              <w:end w:w="70" w:type="dxa"/>
            </w:tcMar>
          </w:tcPr>
          <w:p>
            <w:pPr>
              <w:spacing w:after="0" w:before="0" w:line="240" w:lineRule="auto"/>
            </w:pPr>
            <w:r/>
            <w:r>
              <w:rPr>
                <w:rFonts w:ascii="Arial" w:hAnsi="Arial" w:eastAsia="Arial"/>
                <w:b w:val="0"/>
                <w:sz w:val="17"/>
              </w:rPr>
              <w:t>Bilişim Teknolojileri ve Yazılım</w:t>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Tarih / Hafta</w:t>
            </w:r>
          </w:p>
        </w:tc>
        <w:tc>
          <w:tcPr>
            <w:tcW w:type="dxa" w:w="3855"/>
            <w:vAlign w:val="center"/>
            <w:tcMar>
              <w:top w:w="55" w:type="dxa"/>
              <w:start w:w="70" w:type="dxa"/>
              <w:bottom w:w="55" w:type="dxa"/>
              <w:end w:w="70" w:type="dxa"/>
            </w:tcMar>
          </w:tcPr>
          <w:p>
            <w:pPr>
              <w:spacing w:after="0" w:before="0" w:line="240" w:lineRule="auto"/>
            </w:pPr>
            <w:r>
              <w:rPr>
                <w:rFonts w:ascii="Arial" w:hAnsi="Arial" w:eastAsia="Arial"/>
                <w:b w:val="0"/>
                <w:sz w:val="17"/>
              </w:rPr>
              <w:t>05 Ekim - 09 Ekim 2026 / 4. Hafta</w:t>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Sınıf</w:t>
            </w:r>
          </w:p>
        </w:tc>
        <w:tc>
          <w:tcPr>
            <w:tcW w:type="dxa" w:w="3969"/>
            <w:vAlign w:val="center"/>
            <w:tcMar>
              <w:top w:w="55" w:type="dxa"/>
              <w:start w:w="70" w:type="dxa"/>
              <w:bottom w:w="55" w:type="dxa"/>
              <w:end w:w="70" w:type="dxa"/>
            </w:tcMar>
          </w:tcPr>
          <w:p>
            <w:pPr>
              <w:spacing w:after="0" w:before="0" w:line="240" w:lineRule="auto"/>
            </w:pPr>
            <w:r/>
            <w:r>
              <w:rPr>
                <w:rFonts w:ascii="Arial" w:hAnsi="Arial" w:eastAsia="Arial"/>
                <w:b w:val="0"/>
                <w:sz w:val="17"/>
              </w:rPr>
              <w:t>5. Sınıf</w:t>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Süre</w:t>
            </w:r>
          </w:p>
        </w:tc>
        <w:tc>
          <w:tcPr>
            <w:tcW w:type="dxa" w:w="3855"/>
            <w:vAlign w:val="center"/>
            <w:tcMar>
              <w:top w:w="55" w:type="dxa"/>
              <w:start w:w="70" w:type="dxa"/>
              <w:bottom w:w="55" w:type="dxa"/>
              <w:end w:w="70" w:type="dxa"/>
            </w:tcMar>
          </w:tcPr>
          <w:p>
            <w:pPr>
              <w:spacing w:after="0" w:before="0" w:line="240" w:lineRule="auto"/>
            </w:pPr>
            <w:r>
              <w:rPr>
                <w:rFonts w:ascii="Arial" w:hAnsi="Arial" w:eastAsia="Arial"/>
                <w:b w:val="0"/>
                <w:sz w:val="17"/>
              </w:rPr>
              <w:t>2 ders saati (80 dakika)</w:t>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Tema / Ünite</w:t>
            </w:r>
          </w:p>
        </w:tc>
        <w:tc>
          <w:tcPr>
            <w:tcW w:type="dxa" w:w="9185"/>
            <w:vAlign w:val="center"/>
            <w:gridSpan w:val="3"/>
            <w:tcMar>
              <w:top w:w="55" w:type="dxa"/>
              <w:start w:w="70" w:type="dxa"/>
              <w:bottom w:w="55" w:type="dxa"/>
              <w:end w:w="70" w:type="dxa"/>
            </w:tcMar>
          </w:tcPr>
          <w:p>
            <w:pPr>
              <w:spacing w:after="0" w:before="0" w:line="240" w:lineRule="auto"/>
            </w:pPr>
            <w:r/>
            <w:r>
              <w:rPr>
                <w:rFonts w:ascii="Arial" w:hAnsi="Arial" w:eastAsia="Arial"/>
                <w:b w:val="0"/>
                <w:sz w:val="17"/>
              </w:rPr>
              <w:t>Bilişim Teknolojilerinin Hayatımızdaki Yeri</w:t>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İçerik Çerçevesi (Konu)</w:t>
            </w:r>
          </w:p>
        </w:tc>
        <w:tc>
          <w:tcPr>
            <w:tcW w:type="dxa" w:w="9185"/>
            <w:vAlign w:val="center"/>
            <w:gridSpan w:val="3"/>
            <w:tcMar>
              <w:top w:w="55" w:type="dxa"/>
              <w:start w:w="70" w:type="dxa"/>
              <w:bottom w:w="55" w:type="dxa"/>
              <w:end w:w="70" w:type="dxa"/>
            </w:tcMar>
          </w:tcPr>
          <w:p>
            <w:pPr>
              <w:spacing w:after="0" w:before="0" w:line="240" w:lineRule="auto"/>
            </w:pPr>
            <w:r>
              <w:rPr>
                <w:rFonts w:ascii="Arial" w:hAnsi="Arial" w:eastAsia="Arial"/>
                <w:b w:val="0"/>
                <w:sz w:val="17"/>
              </w:rPr>
              <w:t>Dijital Vatandaşlık Uygulamaları</w:t>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Alan Becerileri</w:t>
            </w:r>
          </w:p>
        </w:tc>
        <w:tc>
          <w:tcPr>
            <w:tcW w:type="dxa" w:w="9185"/>
            <w:vAlign w:val="center"/>
            <w:gridSpan w:val="3"/>
            <w:tcMar>
              <w:top w:w="55" w:type="dxa"/>
              <w:start w:w="70" w:type="dxa"/>
              <w:bottom w:w="55" w:type="dxa"/>
              <w:end w:w="70" w:type="dxa"/>
            </w:tcMar>
          </w:tcPr>
          <w:p>
            <w:pPr>
              <w:spacing w:after="0" w:before="0" w:line="240" w:lineRule="auto"/>
            </w:pPr>
            <w:r/>
            <w:r>
              <w:rPr>
                <w:rFonts w:ascii="Arial" w:hAnsi="Arial" w:eastAsia="Arial"/>
                <w:b w:val="0"/>
                <w:sz w:val="17"/>
              </w:rPr>
              <w:t>BTYAB1. Bilişim Teknolojileri Kullanma</w:t>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Kavramsal Beceriler</w:t>
            </w:r>
          </w:p>
        </w:tc>
        <w:tc>
          <w:tcPr>
            <w:tcW w:type="dxa" w:w="9185"/>
            <w:vAlign w:val="center"/>
            <w:gridSpan w:val="3"/>
            <w:tcMar>
              <w:top w:w="55" w:type="dxa"/>
              <w:start w:w="70" w:type="dxa"/>
              <w:bottom w:w="55" w:type="dxa"/>
              <w:end w:w="70" w:type="dxa"/>
            </w:tcMar>
          </w:tcPr>
          <w:p>
            <w:pPr>
              <w:spacing w:after="0" w:before="0" w:line="240" w:lineRule="auto"/>
            </w:pPr>
            <w:r>
              <w:rPr>
                <w:rFonts w:ascii="Arial" w:hAnsi="Arial" w:eastAsia="Arial"/>
                <w:b w:val="0"/>
                <w:sz w:val="17"/>
              </w:rPr>
              <w:t>Tema düzeyi: KB2.3. Özetleme, KB2.4. Çözümleme, KB2.8. Sorgulama. Bu hafta sınıflandırma ölçütü oluşturma, ilişkilendirme ve sorgulama öne çıkar.</w:t>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Eğilimler</w:t>
            </w:r>
          </w:p>
        </w:tc>
        <w:tc>
          <w:tcPr>
            <w:tcW w:type="dxa" w:w="9185"/>
            <w:vAlign w:val="center"/>
            <w:gridSpan w:val="3"/>
            <w:tcMar>
              <w:top w:w="55" w:type="dxa"/>
              <w:start w:w="70" w:type="dxa"/>
              <w:bottom w:w="55" w:type="dxa"/>
              <w:end w:w="70" w:type="dxa"/>
            </w:tcMar>
          </w:tcPr>
          <w:p>
            <w:pPr>
              <w:spacing w:after="0" w:before="0" w:line="240" w:lineRule="auto"/>
            </w:pPr>
            <w:r>
              <w:rPr>
                <w:rFonts w:ascii="Arial" w:hAnsi="Arial" w:eastAsia="Arial"/>
                <w:b w:val="0"/>
                <w:sz w:val="17"/>
              </w:rPr>
              <w:t>E2.2. Sorumluluk, E3.5. Açık Fikirlilik, E3.8. Soru Sorma</w:t>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Anahtar Kavramlar</w:t>
            </w:r>
          </w:p>
        </w:tc>
        <w:tc>
          <w:tcPr>
            <w:tcW w:type="dxa" w:w="9185"/>
            <w:vAlign w:val="center"/>
            <w:gridSpan w:val="3"/>
            <w:tcMar>
              <w:top w:w="55" w:type="dxa"/>
              <w:start w:w="70" w:type="dxa"/>
              <w:bottom w:w="55" w:type="dxa"/>
              <w:end w:w="70" w:type="dxa"/>
            </w:tcMar>
          </w:tcPr>
          <w:p>
            <w:pPr>
              <w:spacing w:after="0" w:before="0" w:line="240" w:lineRule="auto"/>
            </w:pPr>
            <w:r>
              <w:rPr>
                <w:rFonts w:ascii="Arial" w:hAnsi="Arial" w:eastAsia="Arial"/>
                <w:b w:val="0"/>
                <w:sz w:val="17"/>
              </w:rPr>
              <w:t>dijital kimlik, dijital ayak izi, dijital vatandaşlık, mahremiyet, sosyal medya, dijital etik</w:t>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 Çıktısı ve</w:t>
              <w:br/>
              <w:t>Süreç Bileşenleri</w:t>
            </w:r>
          </w:p>
        </w:tc>
        <w:tc>
          <w:tcPr>
            <w:tcW w:type="dxa" w:w="9185"/>
            <w:vAlign w:val="center"/>
            <w:gridSpan w:val="3"/>
            <w:tcMar>
              <w:top w:w="55" w:type="dxa"/>
              <w:start w:w="70" w:type="dxa"/>
              <w:bottom w:w="55" w:type="dxa"/>
              <w:end w:w="70" w:type="dxa"/>
            </w:tcMar>
          </w:tcPr>
          <w:p>
            <w:pPr>
              <w:spacing w:before="0" w:after="0" w:line="240" w:lineRule="auto"/>
            </w:pPr>
            <w:r>
              <w:rPr>
                <w:rFonts w:ascii="Arial" w:hAnsi="Arial" w:eastAsia="Arial"/>
                <w:b w:val="0"/>
                <w:sz w:val="17"/>
              </w:rPr>
              <w:t>BTY.5.1.3. Dijital vatandaşlık uygulamalarını sınıflandırabilme</w:t>
            </w:r>
          </w:p>
          <w:p>
            <w:pPr>
              <w:spacing w:before="0" w:after="0" w:line="240" w:lineRule="auto"/>
            </w:pPr>
            <w:r>
              <w:rPr>
                <w:rFonts w:ascii="Arial" w:hAnsi="Arial" w:eastAsia="Arial"/>
                <w:b w:val="0"/>
                <w:sz w:val="17"/>
              </w:rPr>
              <w:t>a) Dijital kimlik kavramını belirler.</w:t>
            </w:r>
          </w:p>
          <w:p>
            <w:pPr>
              <w:spacing w:before="0" w:after="0" w:line="240" w:lineRule="auto"/>
            </w:pPr>
            <w:r>
              <w:rPr>
                <w:rFonts w:ascii="Arial" w:hAnsi="Arial" w:eastAsia="Arial"/>
                <w:b w:val="0"/>
                <w:sz w:val="17"/>
              </w:rPr>
              <w:t>b) Dijital ayak izinin etkilerini bilişim teknolojilerinin kullanım alanları ile ilişkilendirir.</w:t>
            </w:r>
          </w:p>
          <w:p>
            <w:pPr>
              <w:spacing w:before="0" w:after="0" w:line="240" w:lineRule="auto"/>
            </w:pPr>
            <w:r>
              <w:rPr>
                <w:rFonts w:ascii="Arial" w:hAnsi="Arial" w:eastAsia="Arial"/>
                <w:b w:val="0"/>
                <w:sz w:val="17"/>
              </w:rPr>
              <w:t>c) Dijital vatandaşlık uygulamalarını kullanım alanlarına göre gruplandırır.</w:t>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Yöntem / Teknik</w:t>
            </w:r>
          </w:p>
        </w:tc>
        <w:tc>
          <w:tcPr>
            <w:tcW w:type="dxa" w:w="3969"/>
            <w:vAlign w:val="center"/>
            <w:tcMar>
              <w:top w:w="55" w:type="dxa"/>
              <w:start w:w="70" w:type="dxa"/>
              <w:bottom w:w="55" w:type="dxa"/>
              <w:end w:w="70" w:type="dxa"/>
            </w:tcMar>
          </w:tcPr>
          <w:p>
            <w:pPr>
              <w:spacing w:after="0" w:before="0" w:line="240" w:lineRule="auto"/>
            </w:pPr>
            <w:r>
              <w:rPr>
                <w:rFonts w:ascii="Arial" w:hAnsi="Arial" w:eastAsia="Arial"/>
                <w:b w:val="0"/>
                <w:sz w:val="17"/>
              </w:rPr>
              <w:t>Soru-cevap, küçük grup araştırması, sınıflandırma, tartışma, poster hazırlama, kısa sunum, akran geri bildirimi</w:t>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Araç-Gereç / Materyal</w:t>
            </w:r>
          </w:p>
        </w:tc>
        <w:tc>
          <w:tcPr>
            <w:tcW w:type="dxa" w:w="3855"/>
            <w:vAlign w:val="center"/>
            <w:tcMar>
              <w:top w:w="55" w:type="dxa"/>
              <w:start w:w="70" w:type="dxa"/>
              <w:bottom w:w="55" w:type="dxa"/>
              <w:end w:w="70" w:type="dxa"/>
            </w:tcMar>
          </w:tcPr>
          <w:p>
            <w:pPr>
              <w:spacing w:after="0" w:before="0" w:line="240" w:lineRule="auto"/>
            </w:pPr>
            <w:r>
              <w:rPr>
                <w:rFonts w:ascii="Arial" w:hAnsi="Arial" w:eastAsia="Arial"/>
                <w:b w:val="0"/>
                <w:sz w:val="17"/>
              </w:rPr>
              <w:t>Dijital vatandaşlık örnek kartları, alan başlıkları (eğitim/sosyal medya/sağlık vb.), kontrollü araştırma kaynakları, poster kâğıdı veya dijital sunum aracı, değerlendirme kontrol listesi, etkileşimli tahta/projeksiyon</w:t>
            </w:r>
          </w:p>
        </w:tc>
      </w:tr>
    </w:tbl>
    <w:p>
      <w:pPr>
        <w:pStyle w:val="SectionHead"/>
        <w:jc w:val="left"/>
      </w:pPr>
      <w:r>
        <w:rPr>
          <w:color w:val="1F4E78"/>
        </w:rPr>
        <w:t>II. BÖLÜM: PROGRAMLAR ARASI BİLEŞENLER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Sosyal-Duygusal Öğrenme Becerileri</w:t>
            </w:r>
          </w:p>
        </w:tc>
        <w:tc>
          <w:tcPr>
            <w:tcW w:type="dxa" w:w="8561"/>
            <w:vAlign w:val="center"/>
            <w:tcMar>
              <w:top w:w="55" w:type="dxa"/>
              <w:start w:w="70" w:type="dxa"/>
              <w:bottom w:w="55" w:type="dxa"/>
              <w:end w:w="70" w:type="dxa"/>
            </w:tcMar>
          </w:tcPr>
          <w:p>
            <w:pPr>
              <w:spacing w:after="0" w:before="0" w:line="240" w:lineRule="auto"/>
            </w:pPr>
            <w:r>
              <w:rPr>
                <w:rFonts w:ascii="Arial" w:hAnsi="Arial" w:eastAsia="Arial"/>
                <w:b w:val="0"/>
                <w:sz w:val="17"/>
              </w:rPr>
              <w:t>SDB1.2. Kendini Düzenleme (Öz Düzenleme), SDB2.1. İletişim, SDB2.3. Sosyal Farkındalık, SDB3.3. Sorumlu Karar Verme</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Değerler</w:t>
            </w:r>
          </w:p>
        </w:tc>
        <w:tc>
          <w:tcPr>
            <w:tcW w:type="dxa" w:w="8561"/>
            <w:vAlign w:val="center"/>
            <w:tcMar>
              <w:top w:w="55" w:type="dxa"/>
              <w:start w:w="70" w:type="dxa"/>
              <w:bottom w:w="55" w:type="dxa"/>
              <w:end w:w="70" w:type="dxa"/>
            </w:tcMar>
          </w:tcPr>
          <w:p>
            <w:pPr>
              <w:spacing w:after="0" w:before="0" w:line="240" w:lineRule="auto"/>
            </w:pPr>
            <w:r>
              <w:rPr>
                <w:rFonts w:ascii="Arial" w:hAnsi="Arial" w:eastAsia="Arial"/>
                <w:b w:val="0"/>
                <w:sz w:val="17"/>
              </w:rPr>
              <w:t>D3. Çalışkanlık, D8. Mahremiyet, D16. Sorumluluk</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Okuryazarlık Becerileri</w:t>
            </w:r>
          </w:p>
        </w:tc>
        <w:tc>
          <w:tcPr>
            <w:tcW w:type="dxa" w:w="8561"/>
            <w:vAlign w:val="center"/>
            <w:tcMar>
              <w:top w:w="55" w:type="dxa"/>
              <w:start w:w="70" w:type="dxa"/>
              <w:bottom w:w="55" w:type="dxa"/>
              <w:end w:w="70" w:type="dxa"/>
            </w:tcMar>
          </w:tcPr>
          <w:p>
            <w:pPr>
              <w:spacing w:after="0" w:before="0" w:line="240" w:lineRule="auto"/>
            </w:pPr>
            <w:r>
              <w:rPr>
                <w:rFonts w:ascii="Arial" w:hAnsi="Arial" w:eastAsia="Arial"/>
                <w:b w:val="0"/>
                <w:sz w:val="17"/>
              </w:rPr>
              <w:t>OB2. Dijital Okuryazarlık (tema düzeyi)</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Beceriler Arası İlişkiler</w:t>
            </w:r>
          </w:p>
        </w:tc>
        <w:tc>
          <w:tcPr>
            <w:tcW w:type="dxa" w:w="8561"/>
            <w:vAlign w:val="center"/>
            <w:tcMar>
              <w:top w:w="55" w:type="dxa"/>
              <w:start w:w="70" w:type="dxa"/>
              <w:bottom w:w="55" w:type="dxa"/>
              <w:end w:w="70" w:type="dxa"/>
            </w:tcMar>
          </w:tcPr>
          <w:p>
            <w:pPr>
              <w:spacing w:after="0" w:before="0" w:line="240" w:lineRule="auto"/>
            </w:pPr>
            <w:r>
              <w:rPr>
                <w:rFonts w:ascii="Arial" w:hAnsi="Arial" w:eastAsia="Arial"/>
                <w:b w:val="0"/>
                <w:sz w:val="17"/>
              </w:rPr>
              <w:t>KB2.7. Karşılaştırma, KB2.8. Sorgulama</w:t>
            </w:r>
          </w:p>
        </w:tc>
      </w:tr>
    </w:tbl>
    <w:p>
      <w:pPr>
        <w:pStyle w:val="SectionHead"/>
        <w:jc w:val="left"/>
      </w:pPr>
      <w:r>
        <w:rPr>
          <w:color w:val="1F4E78"/>
        </w:rPr>
        <w:t>III. BÖLÜM: ÖĞRENME-ÖĞRETME YAŞANTILARI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Basamak / Özellik</w:t>
            </w:r>
          </w:p>
        </w:tc>
        <w:tc>
          <w:tcPr>
            <w:tcW w:type="dxa" w:w="8561"/>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Uygulama</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Temel Kabuller</w:t>
            </w:r>
          </w:p>
        </w:tc>
        <w:tc>
          <w:tcPr>
            <w:tcW w:type="dxa" w:w="8561"/>
            <w:vAlign w:val="center"/>
            <w:tcMar>
              <w:top w:w="55" w:type="dxa"/>
              <w:start w:w="70" w:type="dxa"/>
              <w:bottom w:w="55" w:type="dxa"/>
              <w:end w:w="70" w:type="dxa"/>
            </w:tcMar>
          </w:tcPr>
          <w:p>
            <w:pPr>
              <w:spacing w:after="0" w:before="0" w:line="240" w:lineRule="auto"/>
            </w:pPr>
            <w:r>
              <w:rPr>
                <w:rFonts w:ascii="Arial" w:hAnsi="Arial" w:eastAsia="Arial"/>
                <w:b w:val="0"/>
                <w:sz w:val="17"/>
              </w:rPr>
              <w:t>Öğrencilerin önceki hafta dijital kimlik ve dijital ayak izi kavramlarıyla tanıştıkları; çevrim içi paylaşımların mahremiyet ve sorumluluk açısından sonuçlar doğurabileceğini fark ettikleri kabul edilir. Dijital vatandaşlık uygulamalarını kullanım alanlarına göre sistemli biçimde gruplandırma ve sınıflandırmasını gerekçelendirme konusunda rehberliğe ihtiyaç duyabilecekleri göz önünde bulundurulur.</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Ön Değerlendirme Süreci</w:t>
            </w:r>
          </w:p>
        </w:tc>
        <w:tc>
          <w:tcPr>
            <w:tcW w:type="dxa" w:w="8561"/>
            <w:vAlign w:val="center"/>
            <w:tcMar>
              <w:top w:w="55" w:type="dxa"/>
              <w:start w:w="70" w:type="dxa"/>
              <w:bottom w:w="55" w:type="dxa"/>
              <w:end w:w="70" w:type="dxa"/>
            </w:tcMar>
          </w:tcPr>
          <w:p>
            <w:pPr>
              <w:spacing w:after="0" w:before="0" w:line="240" w:lineRule="auto"/>
            </w:pPr>
            <w:r>
              <w:rPr>
                <w:rFonts w:ascii="Arial" w:hAnsi="Arial" w:eastAsia="Arial"/>
                <w:b w:val="0"/>
                <w:sz w:val="17"/>
              </w:rPr>
              <w:t>Üç-dört kurmaca dijital uygulama/durum kartı gösterilir. Öğrenciler her kartın ne amaçla kullanıldığını, hangi alana daha çok hizmet ettiğini ve sorumlu kullanım için nelere dikkat edilmesi gerektiğini söyler. Birden fazla alanla ilişkili örneklerde farklı gerekçeler dinlenir. Böylece dijital kimlik, dijital ayak izi ve sınıflandırma ölçütlerine ilişkin hazırbulunuşluk belirlenir.</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Köprü Kurma</w:t>
            </w:r>
          </w:p>
        </w:tc>
        <w:tc>
          <w:tcPr>
            <w:tcW w:type="dxa" w:w="8561"/>
            <w:vAlign w:val="center"/>
            <w:tcMar>
              <w:top w:w="55" w:type="dxa"/>
              <w:start w:w="70" w:type="dxa"/>
              <w:bottom w:w="55" w:type="dxa"/>
              <w:end w:w="70" w:type="dxa"/>
            </w:tcMar>
          </w:tcPr>
          <w:p>
            <w:pPr>
              <w:spacing w:after="0" w:before="0" w:line="240" w:lineRule="auto"/>
            </w:pPr>
            <w:r>
              <w:rPr>
                <w:rFonts w:ascii="Arial" w:hAnsi="Arial" w:eastAsia="Arial"/>
                <w:b w:val="0"/>
                <w:sz w:val="17"/>
              </w:rPr>
              <w:t>Günlük vatandaşlıktaki hak, sorumluluk ve başkalarının haklarını gözetme davranışları dijital ortama taşınır. “Toplum içinde sorumlu bir vatandaş nasıl davranır?” sorusu, “Dijital ortamda bunun karşılığı nedir?” sorusuyla ilişkilendirilir. Eğitim, sosyal medya/iletişim ve sağlıkla ilişkili dijital hizmetler üzerinden dijital vatandaşlığa köprü kurulur.</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Öğrenme-Öğretme Uygulamaları</w:t>
            </w:r>
          </w:p>
        </w:tc>
        <w:tc>
          <w:tcPr>
            <w:tcW w:type="dxa" w:w="8561"/>
            <w:vAlign w:val="center"/>
            <w:tcMar>
              <w:top w:w="55" w:type="dxa"/>
              <w:start w:w="70" w:type="dxa"/>
              <w:bottom w:w="55" w:type="dxa"/>
              <w:end w:w="70" w:type="dxa"/>
            </w:tcMar>
          </w:tcPr>
          <w:p>
            <w:pPr>
              <w:spacing w:before="0" w:after="20" w:line="240" w:lineRule="auto"/>
            </w:pPr>
            <w:r>
              <w:rPr>
                <w:rFonts w:ascii="Arial" w:hAnsi="Arial" w:eastAsia="Arial"/>
                <w:b/>
                <w:color w:val="1F4E78"/>
                <w:sz w:val="16"/>
              </w:rPr>
              <w:t>1. DERS SAATİ (40 dk) — Dijital vatandaşlık uygulamalarını sınıflandırma</w:t>
            </w:r>
          </w:p>
          <w:p>
            <w:pPr>
              <w:spacing w:before="0" w:after="0" w:line="240" w:lineRule="auto"/>
            </w:pPr>
            <w:r>
              <w:rPr>
                <w:rFonts w:ascii="Arial" w:hAnsi="Arial" w:eastAsia="Arial"/>
                <w:b w:val="0"/>
                <w:sz w:val="16"/>
              </w:rPr>
              <w:t>0–7 dk | Hatırlama: Dijital kimlik ve dijital ayak izi iki kurmaca örnekle hatırlatılır. “Bir uygulamayı hangi alana ait sayacağımıza nasıl karar veririz?” sorusuyla kullanım amacı, kullanıcı ihtiyacı ve yapılan işlem gibi ölçütler belirlenir.</w:t>
            </w:r>
          </w:p>
          <w:p>
            <w:pPr>
              <w:spacing w:before="0" w:after="0" w:line="240" w:lineRule="auto"/>
            </w:pPr>
            <w:r>
              <w:rPr>
                <w:rFonts w:ascii="Arial" w:hAnsi="Arial" w:eastAsia="Arial"/>
                <w:b w:val="0"/>
                <w:sz w:val="16"/>
              </w:rPr>
              <w:t>7–15 dk | Alanları belirleme: Eğitim, sosyal medya/iletişim ve sağlık gibi programda örneklenen alanlar tanıtılır. Her alan için bir örnek incelenir; öğrenciler alan seçimini ve sorumlu kullanım davranışını gerekçelendirir.</w:t>
            </w:r>
          </w:p>
          <w:p>
            <w:pPr>
              <w:spacing w:before="0" w:after="0" w:line="240" w:lineRule="auto"/>
            </w:pPr>
            <w:r>
              <w:rPr>
                <w:rFonts w:ascii="Arial" w:hAnsi="Arial" w:eastAsia="Arial"/>
                <w:b w:val="0"/>
                <w:sz w:val="16"/>
              </w:rPr>
              <w:t>15–30 dk | Grup araştırması: Her gruba bir alan verilir. Güvenli ve öğretmen tarafından seçilmiş kaynaklardan en az üç örnek bulunur. “Örnek – kullanım alanı – yarar – sorumluluk/mahremiyet ilkesi” tablosu doldurulur. Yapay zekâ destekli kaynak kullanılırsa bilgi başka bir güvenilir kaynakla kontrol edilir.</w:t>
            </w:r>
          </w:p>
          <w:p>
            <w:pPr>
              <w:spacing w:before="0" w:after="0" w:line="240" w:lineRule="auto"/>
            </w:pPr>
            <w:r>
              <w:rPr>
                <w:rFonts w:ascii="Arial" w:hAnsi="Arial" w:eastAsia="Arial"/>
                <w:b w:val="0"/>
                <w:sz w:val="16"/>
              </w:rPr>
              <w:t>30–40 dk | Sınıflandırma panosu: Gruplar örneklerini alan başlıklarının altına yerleştirir. “Neden bu gruba koydunuz?” sorusuyla gerekçeler tartışılır; gerekirse sınıflandırma düzeltilir ve ortak ölçütler netleştirilir.</w:t>
            </w:r>
          </w:p>
          <w:p>
            <w:pPr>
              <w:spacing w:before="0" w:after="20" w:line="240" w:lineRule="auto"/>
            </w:pPr>
            <w:r>
              <w:rPr>
                <w:rFonts w:ascii="Arial" w:hAnsi="Arial" w:eastAsia="Arial"/>
                <w:b/>
                <w:color w:val="1F4E78"/>
                <w:sz w:val="16"/>
              </w:rPr>
              <w:t>2. DERS SAATİ (40 dk) — Poster ve sunumla yapılandırma</w:t>
            </w:r>
          </w:p>
          <w:p>
            <w:pPr>
              <w:spacing w:before="0" w:after="0" w:line="240" w:lineRule="auto"/>
            </w:pPr>
            <w:r>
              <w:rPr>
                <w:rFonts w:ascii="Arial" w:hAnsi="Arial" w:eastAsia="Arial"/>
                <w:b w:val="0"/>
                <w:sz w:val="16"/>
              </w:rPr>
              <w:t>0–8 dk | Ürün ölçütleri: Kavram doğruluğu, doğru gruplandırma, açıklayıcı gerekçe ve görsel-yazılı düzen ölçütleri belirlenir. Gerçek hesap, kullanıcı adı, fotoğraf veya kişisel veri kullanılmayacağı hatırlatılır.</w:t>
            </w:r>
          </w:p>
          <w:p>
            <w:pPr>
              <w:spacing w:before="0" w:after="0" w:line="240" w:lineRule="auto"/>
            </w:pPr>
            <w:r>
              <w:rPr>
                <w:rFonts w:ascii="Arial" w:hAnsi="Arial" w:eastAsia="Arial"/>
                <w:b w:val="0"/>
                <w:sz w:val="16"/>
              </w:rPr>
              <w:t>8–25 dk | Poster/sunum: Gruplar en az üç dijital vatandaşlık örneğini kullanım alanı ve sorumlu/güvenli davranışla birlikte gösteren poster veya tek sayfalık dijital sunum hazırlar. Uygun örneklerde dijital kimlik/ayak izi bağlantısı bir cümleyle açıklanır.</w:t>
            </w:r>
          </w:p>
          <w:p>
            <w:pPr>
              <w:spacing w:before="0" w:after="0" w:line="240" w:lineRule="auto"/>
            </w:pPr>
            <w:r>
              <w:rPr>
                <w:rFonts w:ascii="Arial" w:hAnsi="Arial" w:eastAsia="Arial"/>
                <w:b w:val="0"/>
                <w:sz w:val="16"/>
              </w:rPr>
              <w:t>25–35 dk | Sunum ve akran soruları: Grupların bir bölümü 1–2 dakikalık sunum yapar. Dinleyenler bir açıklayıcı soru veya yapıcı geri bildirim verir. Öğretmen öğrencileri sınıflandırma ölçütlerine dönerek hatalarını kendilerinin fark etmesine yönlendirir.</w:t>
            </w:r>
          </w:p>
          <w:p>
            <w:pPr>
              <w:spacing w:before="0" w:after="0" w:line="240" w:lineRule="auto"/>
            </w:pPr>
            <w:r>
              <w:rPr>
                <w:rFonts w:ascii="Arial" w:hAnsi="Arial" w:eastAsia="Arial"/>
                <w:b w:val="0"/>
                <w:sz w:val="16"/>
              </w:rPr>
              <w:t>35–40 dk | Çıkış bileti: İki yeni kurmaca örnek bir kullanım alanına yerleştirilir ve biri gerekçelendirilir. Öğrenci grup katkısını kısaca öz değerlendirir. Kalan sunumlar ve kavramsal kapanış 5. haftanın ilk ders saatine bırakılır.</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Destekleme</w:t>
            </w:r>
          </w:p>
        </w:tc>
        <w:tc>
          <w:tcPr>
            <w:tcW w:type="dxa" w:w="8561"/>
            <w:vAlign w:val="center"/>
            <w:tcMar>
              <w:top w:w="55" w:type="dxa"/>
              <w:start w:w="70" w:type="dxa"/>
              <w:bottom w:w="55" w:type="dxa"/>
              <w:end w:w="70" w:type="dxa"/>
            </w:tcMar>
          </w:tcPr>
          <w:p>
            <w:pPr>
              <w:spacing w:after="0" w:before="0" w:line="240" w:lineRule="auto"/>
            </w:pPr>
            <w:r>
              <w:rPr>
                <w:rFonts w:ascii="Arial" w:hAnsi="Arial" w:eastAsia="Arial"/>
                <w:b w:val="0"/>
                <w:sz w:val="17"/>
              </w:rPr>
              <w:t>Zorlanan öğrencilere alan başlıklarının bulunduğu görsel pano ve daha az sayıda örnek kart verilebilir. “Ne işe yarıyor?”, “Kim kullanıyor?”, “Hangi sorumluluğa dikkat etmeliyiz?” cümle başlangıçları kullanılabilir. Poster için hazır düzen şablonu, sözlü açıklama ve akran desteği sunulabilir.</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Zenginleştirme</w:t>
            </w:r>
          </w:p>
        </w:tc>
        <w:tc>
          <w:tcPr>
            <w:tcW w:type="dxa" w:w="8561"/>
            <w:vAlign w:val="center"/>
            <w:tcMar>
              <w:top w:w="55" w:type="dxa"/>
              <w:start w:w="70" w:type="dxa"/>
              <w:bottom w:w="55" w:type="dxa"/>
              <w:end w:w="70" w:type="dxa"/>
            </w:tcMar>
          </w:tcPr>
          <w:p>
            <w:pPr>
              <w:spacing w:after="0" w:before="0" w:line="240" w:lineRule="auto"/>
            </w:pPr>
            <w:r>
              <w:rPr>
                <w:rFonts w:ascii="Arial" w:hAnsi="Arial" w:eastAsia="Arial"/>
                <w:b w:val="0"/>
                <w:sz w:val="17"/>
              </w:rPr>
              <w:t>İleri düzey öğrenciler bir örneğin birden fazla alanla ilişkisini gerekçelendirebilir veya posterlerine “güvenli ve sorumlu kullanım için mini kılavuz” ekleyebilir. İsteğe bağlı olarak iki bilgi kaynağındaki aynı bilgiyi karşılaştırıp hangisinin daha güvenilir göründüğünü açıklayabilirler.</w:t>
            </w:r>
          </w:p>
        </w:tc>
      </w:tr>
    </w:tbl>
    <w:p>
      <w:pPr>
        <w:pStyle w:val="SectionHead"/>
        <w:jc w:val="left"/>
      </w:pPr>
      <w:r>
        <w:rPr>
          <w:color w:val="1F4E78"/>
        </w:rPr>
        <w:t>IV. BÖLÜM: ÖLÇME VE DEĞERLENDİRME / ÖĞRENME KANITLARI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Pr>
                <w:rFonts w:ascii="Arial" w:hAnsi="Arial" w:eastAsia="Arial"/>
                <w:b w:val="0"/>
                <w:sz w:val="17"/>
              </w:rPr>
              <w:t>Ön değerlendirme: Kurmaca uygulama/durum kartlarının hangi alana ait olduğuna ilişkin gerekçelerle ön öğrenmeler yoklanır. Süreç değerlendirme: Uygun örnek bulma, sınıflandırma ölçütü kullanma, mahremiyet/sorumluluk boyutunu açıklama ve saygılı iletişim gözlem listesiyle izlenir. Ürün/performans: Poster veya tek sayfalık sunum; kavram doğruluğu, doğru gruplandırma, gerekçenin açıklığı ve görsel-yazılı düzen ölçütleriyle dereceli puanlama anahtarı kullanılarak değerlendirilir. Akran geri bildirimi alınır. Bireysel çıkış bileti BTY.5.1.3-c için öğrenme kanıtı oluşturur. Kalan sunumlar 5. haftanın ilk saatinde tamamlanır.</w:t>
            </w:r>
          </w:p>
        </w:tc>
      </w:tr>
    </w:tbl>
    <w:p>
      <w:pPr>
        <w:pStyle w:val="SectionHead"/>
        <w:jc w:val="left"/>
      </w:pPr>
      <w:r>
        <w:rPr>
          <w:color w:val="1F4E78"/>
        </w:rPr>
        <w:t>V. BÖLÜM: DERSİN DİĞER DERSLERLE İLİŞKİSİ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
              <w:rPr>
                <w:rFonts w:ascii="Arial" w:hAnsi="Arial" w:eastAsia="Arial"/>
                <w:b w:val="0"/>
                <w:sz w:val="17"/>
              </w:rPr>
              <w:t>—  (TYMM 5. sınıf BTY 1. tema sayfasında bu tema için disiplinler arası ilişki ayrıca belirtilmemiştir.)</w:t>
            </w:r>
          </w:p>
        </w:tc>
      </w:tr>
    </w:tbl>
    <w:p>
      <w:pPr>
        <w:pStyle w:val="SectionHead"/>
        <w:jc w:val="left"/>
      </w:pPr>
      <w:r>
        <w:rPr>
          <w:color w:val="1F4E78"/>
        </w:rPr>
        <w:t>VI. BÖLÜM: PLANIN UYGULANMASIYLA İLGİLİ DİĞER AÇIKLAMALAR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Uygulama Notları</w:t>
            </w:r>
          </w:p>
        </w:tc>
        <w:tc>
          <w:tcPr>
            <w:tcW w:type="dxa" w:w="8561"/>
            <w:vAlign w:val="center"/>
            <w:tcMar>
              <w:top w:w="55" w:type="dxa"/>
              <w:start w:w="70" w:type="dxa"/>
              <w:bottom w:w="55" w:type="dxa"/>
              <w:end w:w="70" w:type="dxa"/>
            </w:tcMar>
          </w:tcPr>
          <w:p>
            <w:pPr>
              <w:spacing w:after="0" w:before="0" w:line="240" w:lineRule="auto"/>
            </w:pPr>
            <w:r>
              <w:rPr>
                <w:rFonts w:ascii="Arial" w:hAnsi="Arial" w:eastAsia="Arial"/>
                <w:b w:val="0"/>
                <w:sz w:val="17"/>
              </w:rPr>
              <w:t>Gerçek kullanıcı hesabı, parola, telefon numarası, fotoğraf, mesaj veya öğrenciyi tanımlayabilecek kişisel veri kullanılmaz; kurmaca örnekler tercih edilir. İnternet yoksa basılı kaynak ve kartlarla çalışılır. Yapay zekâ destekli kaynak kullanılacaksa öğretmen gözetiminde ve sınırlı biçimde kullanılır; bilgi başka bir güvenilir kaynakla karşılaştırılır. Kalan grup sunumları ve BTY.5.1.3 kapanışı 5. haftanın ilk ders saatinde tamamlanır.</w:t>
            </w:r>
          </w:p>
        </w:tc>
      </w:tr>
    </w:tbl>
    <w:p>
      <w:pPr>
        <w:spacing w:before="100" w:after="0"/>
        <w:jc w:val="center"/>
      </w:pPr>
      <w:r>
        <w:rPr>
          <w:rFonts w:ascii="Arial" w:hAnsi="Arial"/>
          <w:b/>
          <w:sz w:val="18"/>
        </w:rPr>
        <w:t>Uygundur</w:t>
      </w:r>
    </w:p>
    <w:tbl>
      <w:tblPr>
        <w:tblW w:type="auto" w:w="0"/>
        <w:jc w:val="center"/>
        <w:tblLayout w:type="fixed"/>
        <w:tblLook w:firstColumn="1" w:firstRow="1" w:lastColumn="0" w:lastRow="0" w:noHBand="0" w:noVBand="1" w:val="04A0"/>
      </w:tblPr>
      <w:tblGrid>
        <w:gridCol w:w="5273"/>
        <w:gridCol w:w="5273"/>
      </w:tblGrid>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Bilgisayar ve Öğretim Teknolojileri Öğretmeni</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Okul Müdürü</w:t>
            </w:r>
          </w:p>
        </w:tc>
      </w:tr>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r>
    </w:tbl>
    <w:sectPr w:rsidR="00FC693F" w:rsidRPr="0006063C" w:rsidSect="00034616">
      <w:pgSz w:w="11906" w:h="16838"/>
      <w:pgMar w:top="652" w:right="680" w:bottom="652"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Title">
    <w:name w:val="PlanTitle"/>
    <w:pPr>
      <w:spacing w:before="0" w:after="40"/>
    </w:pPr>
    <w:rPr>
      <w:rFonts w:ascii="Arial" w:hAnsi="Arial" w:eastAsia="Arial"/>
      <w:b/>
      <w:sz w:val="24"/>
    </w:rPr>
  </w:style>
  <w:style w:type="paragraph" w:customStyle="1" w:styleId="SectionHead">
    <w:name w:val="SectionHead"/>
    <w:pPr>
      <w:spacing w:before="60" w:after="40"/>
    </w:pPr>
    <w:rPr>
      <w:rFonts w:ascii="Arial" w:hAnsi="Arial" w:eastAsia="Arial"/>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Sınıf BTY Günlük Ders Planı - 4. Hafta</dc:title>
  <dc:subject>2026-2027 / BTY.5.1.3 Dijital Vatandaşlık Uygulamaları</dc:subject>
  <dc:creator/>
  <cp:keywords/>
  <dc:description>TYMM 5. sınıf BTY öğretim programı ve 2026-2027 haftalık takvim verileri esas alınarak hazırlanmıştır.</dc:description>
  <cp:lastModifiedBy/>
  <cp:revision>1</cp:revision>
  <dcterms:created xsi:type="dcterms:W3CDTF">2013-12-23T23:15:00Z</dcterms:created>
  <dcterms:modified xsi:type="dcterms:W3CDTF">2013-12-23T23:15:00Z</dcterms:modified>
  <cp:category/>
</cp:coreProperties>
</file>