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5.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
              <w:rPr>
                <w:rFonts w:ascii="Arial" w:hAnsi="Arial" w:eastAsia="Arial"/>
                <w:b w:val="0"/>
                <w:sz w:val="17"/>
              </w:rPr>
              <w:t>Bilişim Teknolojileri ve Yazılım</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rFonts w:ascii="Arial" w:hAnsi="Arial" w:eastAsia="Arial"/>
                <w:b w:val="0"/>
                <w:sz w:val="17"/>
              </w:rPr>
              <w:t>12 Ekim - 16 Ekim 2026 / 5. Hafta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
              <w:rPr>
                <w:rFonts w:ascii="Arial" w:hAnsi="Arial" w:eastAsia="Arial"/>
                <w:b w:val="0"/>
                <w:sz w:val="17"/>
              </w:rPr>
              <w:t>5. Sınıf</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rFonts w:ascii="Arial" w:hAnsi="Arial" w:eastAsia="Arial"/>
                <w:b w:val="0"/>
                <w:sz w:val="17"/>
              </w:rPr>
              <w:t>1 + 1 ders saati (80 dakika)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
              <w:rPr>
                <w:rFonts w:ascii="Arial" w:hAnsi="Arial" w:eastAsia="Arial"/>
                <w:b w:val="0"/>
                <w:sz w:val="17"/>
              </w:rPr>
              <w:t>Bilişim Teknolojilerinin Hayatımızdaki Yeri</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rFonts w:ascii="Arial" w:hAnsi="Arial" w:eastAsia="Arial"/>
                <w:b w:val="0"/>
                <w:sz w:val="17"/>
              </w:rPr>
              <w:t>Dijital Vatandaşlık Uygulamaları / Yapay Zekâda Temel Kavram ve Özellikler</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
              <w:rPr>
                <w:rFonts w:ascii="Arial" w:hAnsi="Arial" w:eastAsia="Arial"/>
                <w:b w:val="0"/>
                <w:sz w:val="17"/>
              </w:rPr>
              <w:t>BTYAB1. Bilişim Teknolojileri Kullanma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rFonts w:ascii="Arial" w:hAnsi="Arial" w:eastAsia="Arial"/>
                <w:b w:val="0"/>
                <w:sz w:val="17"/>
              </w:rPr>
              <w:t>Tema düzeyi: KB2.3. Özetleme, KB2.4. Çözümleme, KB2.8. Sorgulama. Bu hafta ilk saatte sınıflandırma/özetleme, ikinci saatte sorgulama ve kavram oluşturma öne çıkar.</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rFonts w:ascii="Arial" w:hAnsi="Arial" w:eastAsia="Arial"/>
                <w:b w:val="0"/>
                <w:sz w:val="17"/>
              </w:rPr>
              <w:t>E1.2. Bağımsızlık, E2.2. Sorumluluk, E3.5. Açık Fikirlilik, E3.8. Soru Sorma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rFonts w:ascii="Arial" w:hAnsi="Arial" w:eastAsia="Arial"/>
                <w:b w:val="0"/>
                <w:sz w:val="17"/>
              </w:rPr>
              <w:t>dijital vatandaşlık, dijital kimlik, dijital ayak izi, mahremiyet, yapay zekâ, doğal zekâ, yapay zekâ uygulamaları</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before="0" w:after="0" w:line="240" w:lineRule="auto"/>
            </w:pPr>
            <w:r>
              <w:rPr>
                <w:rFonts w:ascii="Arial" w:hAnsi="Arial" w:eastAsia="Arial"/>
                <w:b w:val="0"/>
                <w:sz w:val="16"/>
              </w:rPr>
              <w:t>BTY.5.1.3. Dijital vatandaşlık uygulamalarını sınıflandırabilme</w:t>
            </w:r>
          </w:p>
          <w:p>
            <w:pPr>
              <w:spacing w:before="0" w:after="0" w:line="240" w:lineRule="auto"/>
            </w:pPr>
            <w:r>
              <w:rPr>
                <w:rFonts w:ascii="Arial" w:hAnsi="Arial" w:eastAsia="Arial"/>
                <w:b w:val="0"/>
                <w:sz w:val="16"/>
              </w:rPr>
              <w:t>a) Dijital kimlik kavramını belirler.</w:t>
            </w:r>
          </w:p>
          <w:p>
            <w:pPr>
              <w:spacing w:before="0" w:after="0" w:line="240" w:lineRule="auto"/>
            </w:pPr>
            <w:r>
              <w:rPr>
                <w:rFonts w:ascii="Arial" w:hAnsi="Arial" w:eastAsia="Arial"/>
                <w:b w:val="0"/>
                <w:sz w:val="16"/>
              </w:rPr>
              <w:t>b) Dijital ayak izinin etkilerini bilişim teknolojilerinin kullanım alanları ile ilişkilendirir.</w:t>
            </w:r>
          </w:p>
          <w:p>
            <w:pPr>
              <w:spacing w:before="0" w:after="0" w:line="240" w:lineRule="auto"/>
            </w:pPr>
            <w:r>
              <w:rPr>
                <w:rFonts w:ascii="Arial" w:hAnsi="Arial" w:eastAsia="Arial"/>
                <w:b w:val="0"/>
                <w:sz w:val="16"/>
              </w:rPr>
              <w:t>c) Dijital vatandaşlık uygulamalarını kullanım alanlarına göre gruplandırır.</w:t>
            </w:r>
          </w:p>
          <w:p>
            <w:pPr>
              <w:spacing w:before="0" w:after="0" w:line="240" w:lineRule="auto"/>
            </w:pPr>
            <w:r>
              <w:rPr>
                <w:rFonts w:ascii="Arial" w:hAnsi="Arial" w:eastAsia="Arial"/>
                <w:b w:val="0"/>
                <w:sz w:val="16"/>
              </w:rPr>
              <w:t>BTY.5.1.4. Yapay zekâ ile ilgili temel kavramları ve özellikleri sorgulayabilme</w:t>
            </w:r>
          </w:p>
          <w:p>
            <w:pPr>
              <w:spacing w:before="0" w:after="0" w:line="240" w:lineRule="auto"/>
            </w:pPr>
            <w:r>
              <w:rPr>
                <w:rFonts w:ascii="Arial" w:hAnsi="Arial" w:eastAsia="Arial"/>
                <w:b w:val="0"/>
                <w:sz w:val="16"/>
              </w:rPr>
              <w:t>a) Yapay zekâ ile ilgili temel kavram ve özelliklere ilişkin merak ettiği konuları tanımlar.</w:t>
            </w:r>
          </w:p>
          <w:p>
            <w:pPr>
              <w:spacing w:before="0" w:after="0" w:line="240" w:lineRule="auto"/>
            </w:pPr>
            <w:r>
              <w:rPr>
                <w:rFonts w:ascii="Arial" w:hAnsi="Arial" w:eastAsia="Arial"/>
                <w:b w:val="0"/>
                <w:sz w:val="16"/>
              </w:rPr>
              <w:t>b) Yapay zekâ ile ilgili temel kavram ve özellikleri hakkında sorular sorar.</w:t>
            </w:r>
          </w:p>
          <w:p>
            <w:pPr>
              <w:spacing w:before="0" w:after="0" w:line="240" w:lineRule="auto"/>
            </w:pPr>
            <w:r>
              <w:rPr>
                <w:rFonts w:ascii="Arial" w:hAnsi="Arial" w:eastAsia="Arial"/>
                <w:b w:val="0"/>
                <w:sz w:val="16"/>
              </w:rPr>
              <w:t>c) Yapay zekâ ile ilgili temel kavram ve özellikleri hakkında bilgi toplar.</w:t>
            </w:r>
          </w:p>
          <w:p>
            <w:pPr>
              <w:spacing w:before="0" w:after="0" w:line="240" w:lineRule="auto"/>
            </w:pPr>
            <w:r>
              <w:rPr>
                <w:rFonts w:ascii="Arial" w:hAnsi="Arial" w:eastAsia="Arial"/>
                <w:b w:val="0"/>
                <w:sz w:val="16"/>
              </w:rPr>
              <w:t>ç) Yapay zekâ ile ilgili temel kavram ve özellikleri hakkında toplanan bilgilerin doğruluğunu değerlendirir.</w:t>
            </w:r>
          </w:p>
          <w:p>
            <w:pPr>
              <w:spacing w:before="0" w:after="0" w:line="240" w:lineRule="auto"/>
            </w:pPr>
            <w:r>
              <w:rPr>
                <w:rFonts w:ascii="Arial" w:hAnsi="Arial" w:eastAsia="Arial"/>
                <w:b w:val="0"/>
                <w:sz w:val="16"/>
              </w:rPr>
              <w:t>d) Yapay zekânın olası etkilerine ilişkin topladığı bilgiler üzerinden çıkarım yapar.</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rFonts w:ascii="Arial" w:hAnsi="Arial" w:eastAsia="Arial"/>
                <w:b w:val="0"/>
                <w:sz w:val="17"/>
              </w:rPr>
              <w:t>Kısa sunum, akran geri bildirimi, Frayer modeli, beyin fırtınası, örnek inceleme, soru üretme, küçük grup çalışması, çıkış bileti</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rFonts w:ascii="Arial" w:hAnsi="Arial" w:eastAsia="Arial"/>
                <w:b w:val="0"/>
                <w:sz w:val="17"/>
              </w:rPr>
              <w:t>4. haftadan kalan poster/sunumlar, kontrol listesi, yapay zekâ örnek görselleri/kısa sunu, kurmaca uygulama kartları, Frayer veya kavram haritası çalışma kâğıdı, etkileşimli tahta/projeksiyon</w:t>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SDB1.1. Kendini Tanıma (Öz Farkındalık), SDB1.2. Kendini Düzenleme (Öz Düzenleme), SDB2.1. İletişim, SDB2.2. İş Birliği, SDB2.3. Sosyal Farkındalık, SDB3.3. Sorumlu Karar Verme</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D3. Çalışkanlık, D8. Mahremiyet, D16. Sorumluluk</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OB1. Bilgi Okuryazarlığı, OB2. Dijital Okuryazarlık (tema düzeyi)</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KB2.7. Karşılaştırma, KB2.8. Sorgulama</w:t>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Öğrencilerin dijital kimlik, dijital ayak izi ve dijital vatandaşlık kavramlarını önceki haftalarda ele aldıkları; uygulamaları kullanım alanlarına göre gruplandırıp poster/sunum hazırladıkları kabul edilir. Yapay zekâ konusunda günlük örneklerle karşılaşmış olabilecekleri, ancak kavramın sınırlarını ve özelliklerini sistemli biçimde açıklamakta zorlanabilecekleri göz önünde bulundurulur.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İlk saatte kalan poster/sunumlar üzerinden dijital vatandaşlığı sınıflandırma, dijital ayak izi ve mahremiyet/sorumluluk ön öğrenmeleri yoklanır. İkinci saatte “Sizce makineler düşünebilir mi?” sorusu ve sesli asistan, yüz tanıma, öneri sistemi, robot süpürge gibi örneklerle öğrencilerin yapay zekâya ilişkin mevcut kavramları, yanlış genellemeleri ve merak ettikleri sorular belirlenir.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Bazı dijital hizmetlerin öneri, sınıflandırma veya tanıma yapan yapay zekâ sistemlerinden yararlanabildiği açıklanır. Sesli asistan, film/müzik önerisi ve yüz tanıma gibi günlük örnekler yeni kavrama bağlanır. “Her akıllı görünen cihaz yapay zekâ mıdır?” ve “Makinenin yaptığı işlem insan zekâsıyla aynı mıdır?” soruları sonraki öğrenmelere köprü oluşturur.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pPr>
              <w:spacing w:before="0" w:after="20" w:line="240" w:lineRule="auto"/>
            </w:pPr>
            <w:r>
              <w:rPr>
                <w:rFonts w:ascii="Arial" w:hAnsi="Arial" w:eastAsia="Arial"/>
                <w:b/>
                <w:color w:val="1F4E78"/>
                <w:sz w:val="16"/>
              </w:rPr>
              <w:t>1. DERS SAATİ (40 dk) — BTY.5.1.3’ü tamamlama</w:t>
            </w:r>
          </w:p>
          <w:p>
            <w:pPr>
              <w:spacing w:before="0" w:after="0" w:line="240" w:lineRule="auto"/>
            </w:pPr>
            <w:r>
              <w:rPr>
                <w:rFonts w:ascii="Arial" w:hAnsi="Arial" w:eastAsia="Arial"/>
                <w:b w:val="0"/>
                <w:sz w:val="16"/>
              </w:rPr>
              <w:t>0–8 dk | Ölçütleri hatırlama: 4. haftadaki kullanım alanı, kullanım amacı ve sorumlu/mahremiyete uygun davranış ölçütleri kısaca hatırlatılır. Dinleyicilerin sunumlarda kullanacağı “Neden bu alana yerleştirdiniz?” ve “Hangi sorumluluk önemlidir?” soruları belirlenir.</w:t>
            </w:r>
          </w:p>
          <w:p>
            <w:pPr>
              <w:spacing w:before="0" w:after="0" w:line="240" w:lineRule="auto"/>
            </w:pPr>
            <w:r>
              <w:rPr>
                <w:rFonts w:ascii="Arial" w:hAnsi="Arial" w:eastAsia="Arial"/>
                <w:b w:val="0"/>
                <w:sz w:val="16"/>
              </w:rPr>
              <w:t>8–25 dk | Kalan sunumlar ve akran geri bildirimi: Gruplar poster/tek sayfalık çalışmalarını 1–2 dakikada sunar. Dinleyenler bir açıklayıcı soru veya yapıcı geri bildirim verir. Tartışmalı sınıflandırmalarda öğretmen cevabı söylemek yerine öğrencileri ortak ölçütlere dönerek gerekçelerini gözden geçirmeye yönlendirir.</w:t>
            </w:r>
          </w:p>
          <w:p>
            <w:pPr>
              <w:spacing w:before="0" w:after="0" w:line="240" w:lineRule="auto"/>
            </w:pPr>
            <w:r>
              <w:rPr>
                <w:rFonts w:ascii="Arial" w:hAnsi="Arial" w:eastAsia="Arial"/>
                <w:b w:val="0"/>
                <w:sz w:val="16"/>
              </w:rPr>
              <w:t>25–40 dk | Kavramsal kapanış ve transfer: Dijital vatandaşlık/dijital ayak izi için kısa Frayer çalışması tamamlanır. Ardından yeni bir kurmaca dijital hizmet kartında öğrenci kullanım alanını, sınıflandırma gerekçesini ve bir mahremiyet/sorumluluk davranışını yazar. Bu görev BTY.5.1.3’ün bireysel kapanış kanıtıdır.</w:t>
            </w:r>
          </w:p>
          <w:p>
            <w:pPr>
              <w:spacing w:before="0" w:after="20" w:line="240" w:lineRule="auto"/>
            </w:pPr>
            <w:r>
              <w:rPr>
                <w:rFonts w:ascii="Arial" w:hAnsi="Arial" w:eastAsia="Arial"/>
                <w:b/>
                <w:color w:val="1F4E78"/>
                <w:sz w:val="16"/>
              </w:rPr>
              <w:t>2. DERS SAATİ (40 dk) — BTY.5.1.4’e giriş: Yapay zekâ nedir?</w:t>
            </w:r>
          </w:p>
          <w:p>
            <w:pPr>
              <w:spacing w:before="0" w:after="0" w:line="240" w:lineRule="auto"/>
            </w:pPr>
            <w:r>
              <w:rPr>
                <w:rFonts w:ascii="Arial" w:hAnsi="Arial" w:eastAsia="Arial"/>
                <w:b w:val="0"/>
                <w:sz w:val="16"/>
              </w:rPr>
              <w:t>0–8 dk | Merak uyandırma: Resmî programdaki “Sizce makineler düşünebilir mi?” sorusu yöneltilir. Öğrenciler kısa bir görüş oluşturur ve farklı gerekçeler paylaşılır. Amaç hemen tek bir doğru cevaba ulaşmak değil, merak edilen noktaları görünür hâle getirmektir.</w:t>
            </w:r>
          </w:p>
          <w:p>
            <w:pPr>
              <w:spacing w:before="0" w:after="0" w:line="240" w:lineRule="auto"/>
            </w:pPr>
            <w:r>
              <w:rPr>
                <w:rFonts w:ascii="Arial" w:hAnsi="Arial" w:eastAsia="Arial"/>
                <w:b w:val="0"/>
                <w:sz w:val="16"/>
              </w:rPr>
              <w:t>8–18 dk | Günlük örnekler: Sesli asistan, yüz tanıma, öneri sistemi, robot süpürge ve otonom araç gibi örnekler incelenir. Öğrenciler “Ne yapıyor?”, “Nerede karşılaşıyoruz?” ve “İnsana nasıl yardımcı oluyor?” sorularına yanıt verir. Öğretmen yapay zekâyı yaş düzeyine uygun, sade bir çerçevede tanıtır.</w:t>
            </w:r>
          </w:p>
          <w:p>
            <w:pPr>
              <w:spacing w:before="0" w:after="0" w:line="240" w:lineRule="auto"/>
            </w:pPr>
            <w:r>
              <w:rPr>
                <w:rFonts w:ascii="Arial" w:hAnsi="Arial" w:eastAsia="Arial"/>
                <w:b w:val="0"/>
                <w:sz w:val="16"/>
              </w:rPr>
              <w:t>18–30 dk | Ortak kavram oluşturma: Tahtaya “YAPAY ZEKÂ” yazılır; öğrencilerin ilişkilendirdiği terim ve örnekler gruplanır. Öğrenciler önce kendi tanımlarını yazar, ardından sınıfın ortak tanımı oluşturulur. “Her otomatik çalışan cihaz yapay zekâ mıdır?” sorusuyla örnek ve örnek olmayan ayrımı yapılır.</w:t>
            </w:r>
          </w:p>
          <w:p>
            <w:pPr>
              <w:spacing w:before="0" w:after="0" w:line="240" w:lineRule="auto"/>
            </w:pPr>
            <w:r>
              <w:rPr>
                <w:rFonts w:ascii="Arial" w:hAnsi="Arial" w:eastAsia="Arial"/>
                <w:b w:val="0"/>
                <w:sz w:val="16"/>
              </w:rPr>
              <w:t>30–36 dk | Soru üretme: Küçük gruplar bir yapay zekâ görseli/senaryosu için “Neden?”, “Nasıl?” ve “Ne zaman?” ile başlayan sorular hazırlar. Sorular tanım/özellik, nasıl çalışır, kullanım alanı ve olası etkiler başlıkları altında gruplanarak 6. haftadaki araştırmaya temel oluşturur.</w:t>
            </w:r>
          </w:p>
          <w:p>
            <w:pPr>
              <w:spacing w:before="0" w:after="0" w:line="240" w:lineRule="auto"/>
            </w:pPr>
            <w:r>
              <w:rPr>
                <w:rFonts w:ascii="Arial" w:hAnsi="Arial" w:eastAsia="Arial"/>
                <w:b w:val="0"/>
                <w:sz w:val="16"/>
              </w:rPr>
              <w:t>36–40 dk | Çıkış bileti: Öğrenci “tanım – bir örnek – bir örnek olmayan – merak ettiğim bir soru” alanlarını doldurur. Öğretmen kavram yanılgılarını belirler; bilgi toplama, doğruluğu değerlendirme ve etkilerden çıkarım süreçlerinin 6. haftada sürdürüleceğini belirtir.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Zorlanan öğrencilere görsel destekli örnek kartları ve “ne yapıyor – nerede kullanılıyor – insana nasıl yardımcı oluyor?” tablosu verilebilir. Frayer modeli için cümle başlangıçları, görsel eşleştirme veya kısa sözlü yanıt seçeneği sunulabilir; grup çalışmasında akran desteği sağlanabilir.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İleri düzey öğrenciler otomasyon ile yapay zekâ arasındaki farkı gösterecek iki örnek geliştirip gerekçelendirebilir. Soruları “veri”, “nasıl çalışır”, “kullanım alanı” ve “etki” başlıklarında gruplayabilir veya bir yapay zekâ uygulamasının girdi-çıktı-yarar/risk ilişkisini basit şemayla gösterebilir.</w:t>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rFonts w:ascii="Arial" w:hAnsi="Arial" w:eastAsia="Arial"/>
                <w:b w:val="0"/>
                <w:sz w:val="17"/>
              </w:rPr>
              <w:t>Ön değerlendirme: Kalan poster/sunumlarda sınıflandırma gerekçeleri; ikinci saatte “Makineler düşünebilir mi?” sorusuna verilen cevaplar ve günlük yapay zekâ örnekleri üzerinden hazırbulunuşluk belirlenir. Süreç değerlendirme: BTY.5.1.3 için sunum, akran sorusu, Frayer modeli ve yeni durum kartı; BTY.5.1.4 için örnekleri açıklama, ortak tanıma katkı, örnek/örnek olmayan ayrımı ve soru üretme gözlem formuyla izlenir. Öğrenme kanıtları: Dijital vatandaşlık transfer kartı BTY.5.1.3’ün kapanış kanıtıdır. Yapay zekâ Frayer/çıkış bileti BTY.5.1.4’ün a-b süreçleri ve c sürecinin başlangıcına yönelik kanıt sağlar; bilgi doğrulama ve olası etkiler 6. haftada değerlendirilir.</w:t>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
              <w:rPr>
                <w:rFonts w:ascii="Arial" w:hAnsi="Arial" w:eastAsia="Arial"/>
                <w:b w:val="0"/>
                <w:sz w:val="17"/>
              </w:rPr>
              <w:t>—  (TYMM 5. sınıf BTY 1. tema sayfasında bu tema için disiplinler arası ilişki ayrıca belirtilmemiştir.)</w:t>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rFonts w:ascii="Arial" w:hAnsi="Arial" w:eastAsia="Arial"/>
                <w:b w:val="0"/>
                <w:sz w:val="17"/>
              </w:rPr>
              <w:t>Gerçek kullanıcı adı, parola, fotoğraf, mesaj veya öğrenciyi tanımlayabilecek kişisel veri kullanılmaz. Yapay zekâ örnekleri yaşa uygun ve kurmaca/kamuya açık içeriklerden seçilir; öğrencilere hesap açtırılmaz veya kişisel veri girdirilmez. Yapay zekâ “her soruya doğru cevap veren kaynak” olarak sunulmaz. İnternet yoksa görsel kart ve basılı materyalle çalışılır. BTY.5.1.4’ün araştırma, doğrulama ve çıkarım bölümü 6. haftada tamamlanır.</w:t>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- 5. Hafta</dc:title>
  <dc:subject>2026-2027 / BTY.5.1.3 + BTY.5.1.4</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