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Arial" w:hAnsi="Arial" w:eastAsia="Arial"/>
          <w:b/>
          <w:sz w:val="20"/>
        </w:rPr>
        <w:t>2026-2027 EĞİTİM – ÖĞRETİM YILI ………………………………… ORTAOKULU</w:t>
      </w:r>
    </w:p>
    <w:p>
      <w:pPr>
        <w:spacing w:after="60"/>
        <w:jc w:val="center"/>
      </w:pPr>
      <w:r>
        <w:rPr>
          <w:rFonts w:ascii="Arial" w:hAnsi="Arial" w:eastAsia="Arial"/>
          <w:b/>
          <w:sz w:val="22"/>
        </w:rPr>
        <w:t>6. SINIF BİLİŞİM TEKNOLOJİLERİ VE YAZILIM DERSİ GÜNLÜK DERS PLANI</w:t>
      </w:r>
    </w:p>
    <w:p>
      <w:pPr>
        <w:pStyle w:val="SectionHead"/>
        <w:jc w:val="left"/>
      </w:pPr>
      <w:r>
        <w:rPr>
          <w:color w:val="1F4E78"/>
        </w:rPr>
        <w:t>I. BÖLÜM: DERS BİLGİSİ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7F8C8D"/>
          <w:left w:val="single" w:sz="5" w:color="7F8C8D"/>
          <w:bottom w:val="single" w:sz="5" w:color="7F8C8D"/>
          <w:right w:val="single" w:sz="5" w:color="7F8C8D"/>
          <w:insideH w:val="single" w:sz="5" w:color="7F8C8D"/>
          <w:insideV w:val="single" w:sz="5" w:color="7F8C8D"/>
        </w:tblBorders>
      </w:tblPr>
      <w:tblGrid>
        <w:gridCol w:w="2636"/>
        <w:gridCol w:w="2636"/>
        <w:gridCol w:w="2636"/>
        <w:gridCol w:w="2636"/>
      </w:tblGrid>
      <w:tr>
        <w:trPr>
          <w:cantSplit/>
        </w:trPr>
        <w:tc>
          <w:tcPr>
            <w:tcW w:type="dxa" w:w="181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Dersin Adı</w:t>
            </w:r>
          </w:p>
        </w:tc>
        <w:tc>
          <w:tcPr>
            <w:tcW w:type="dxa" w:w="3969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  <w:sz w:val="16"/>
              </w:rPr>
              <w:t>Bilişim Teknolojileri ve Yazılım</w:t>
            </w:r>
            <w:r>
              <w:rPr>
                <w:rFonts w:ascii="Arial" w:hAnsi="Arial" w:eastAsia="Arial"/>
                <w:b w:val="0"/>
                <w:sz w:val="17"/>
              </w:rPr>
            </w:r>
          </w:p>
        </w:tc>
        <w:tc>
          <w:tcPr>
            <w:tcW w:type="dxa" w:w="13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Tarih / Hafta</w:t>
            </w:r>
          </w:p>
        </w:tc>
        <w:tc>
          <w:tcPr>
            <w:tcW w:type="dxa" w:w="3855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  <w:sz w:val="16"/>
              </w:rPr>
              <w:t>23 Kasım - 27 Kasım 2026 / 10. Hafta</w:t>
            </w:r>
            <w:r>
              <w:rPr>
                <w:rFonts w:ascii="Arial" w:hAnsi="Arial" w:eastAsia="Arial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Sınıf</w:t>
            </w:r>
          </w:p>
        </w:tc>
        <w:tc>
          <w:tcPr>
            <w:tcW w:type="dxa" w:w="3969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  <w:sz w:val="16"/>
              </w:rPr>
              <w:t>6. Sınıf</w:t>
            </w:r>
            <w:r>
              <w:rPr>
                <w:rFonts w:ascii="Arial" w:hAnsi="Arial" w:eastAsia="Arial"/>
                <w:b w:val="0"/>
                <w:sz w:val="17"/>
              </w:rPr>
            </w:r>
          </w:p>
        </w:tc>
        <w:tc>
          <w:tcPr>
            <w:tcW w:type="dxa" w:w="13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Süre</w:t>
            </w:r>
          </w:p>
        </w:tc>
        <w:tc>
          <w:tcPr>
            <w:tcW w:type="dxa" w:w="3855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  <w:sz w:val="16"/>
              </w:rPr>
              <w:t>1+1 (toplam 80 dakika)</w:t>
            </w:r>
            <w:r>
              <w:rPr>
                <w:rFonts w:ascii="Arial" w:hAnsi="Arial" w:eastAsia="Arial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Tema / Ünite</w:t>
            </w:r>
          </w:p>
        </w:tc>
        <w:tc>
          <w:tcPr>
            <w:tcW w:type="dxa" w:w="9185"/>
            <w:vAlign w:val="center"/>
            <w:gridSpan w:val="3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  <w:sz w:val="16"/>
              </w:rPr>
              <w:t>Bilgisayar Ağları ve İletişim</w:t>
            </w:r>
            <w:r>
              <w:rPr>
                <w:rFonts w:ascii="Arial" w:hAnsi="Arial" w:eastAsia="Arial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İçerik Çerçevesi (Konu)</w:t>
            </w:r>
          </w:p>
        </w:tc>
        <w:tc>
          <w:tcPr>
            <w:tcW w:type="dxa" w:w="9185"/>
            <w:vAlign w:val="center"/>
            <w:gridSpan w:val="3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  <w:sz w:val="16"/>
              </w:rPr>
              <w:t>İletişim Teknolojileri ve Çeşitleri / İnternette İleri Düzey Arama</w:t>
            </w:r>
            <w:r>
              <w:rPr>
                <w:rFonts w:ascii="Arial" w:hAnsi="Arial" w:eastAsia="Arial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Alan Becerileri</w:t>
            </w:r>
          </w:p>
        </w:tc>
        <w:tc>
          <w:tcPr>
            <w:tcW w:type="dxa" w:w="9185"/>
            <w:vAlign w:val="center"/>
            <w:gridSpan w:val="3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  <w:sz w:val="16"/>
              </w:rPr>
              <w:t>BTYAB1. Bilişim Teknolojileri Kullanma</w:t>
            </w:r>
            <w:r>
              <w:rPr>
                <w:rFonts w:ascii="Arial" w:hAnsi="Arial" w:eastAsia="Arial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Kavramsal Beceriler</w:t>
            </w:r>
          </w:p>
        </w:tc>
        <w:tc>
          <w:tcPr>
            <w:tcW w:type="dxa" w:w="9185"/>
            <w:vAlign w:val="center"/>
            <w:gridSpan w:val="3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  <w:sz w:val="16"/>
              </w:rPr>
              <w:t>— (TYMM tema düzeyinde ayrıca belirtilmemiştir.)</w:t>
            </w:r>
            <w:r>
              <w:rPr>
                <w:rFonts w:ascii="Arial" w:hAnsi="Arial" w:eastAsia="Arial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Eğilimler</w:t>
            </w:r>
          </w:p>
        </w:tc>
        <w:tc>
          <w:tcPr>
            <w:tcW w:type="dxa" w:w="9185"/>
            <w:vAlign w:val="center"/>
            <w:gridSpan w:val="3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  <w:sz w:val="16"/>
              </w:rPr>
              <w:t>E3.3. Yaratıcılık</w:t>
            </w:r>
            <w:r>
              <w:rPr>
                <w:rFonts w:ascii="Arial" w:hAnsi="Arial" w:eastAsia="Arial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Anahtar Kavramlar</w:t>
            </w:r>
          </w:p>
        </w:tc>
        <w:tc>
          <w:tcPr>
            <w:tcW w:type="dxa" w:w="9185"/>
            <w:vAlign w:val="center"/>
            <w:gridSpan w:val="3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  <w:sz w:val="16"/>
              </w:rPr>
              <w:t>alıcı, arama motoru, eş zamanlı iletişim, farklı zamanlı iletişim, geri bildirim, gönderen, gürültü, internet tarayıcısı, kanal, mesaj</w:t>
            </w:r>
            <w:r>
              <w:rPr>
                <w:rFonts w:ascii="Arial" w:hAnsi="Arial" w:eastAsia="Arial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Öğrenme Çıktısı ve</w:t>
              <w:br/>
              <w:t>Süreç Bileşenleri</w:t>
            </w:r>
          </w:p>
        </w:tc>
        <w:tc>
          <w:tcPr>
            <w:tcW w:type="dxa" w:w="9185"/>
            <w:vAlign w:val="center"/>
            <w:gridSpan w:val="3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  <w:sz w:val="16"/>
              </w:rPr>
              <w:t>BTY.6.3.1. İnternet ile amacına uygun olarak çalışabilme</w:t>
              <w:br/>
              <w:t>BTY.6.3.2. İletişim teknolojilerini sınıflandırabilme</w:t>
              <w:br/>
              <w:t>a) İleri düzey arama yapmak için kullanabileceği arama motorlarını belirler.</w:t>
              <w:br/>
              <w:t>b) Belirlediği arama motorlarını kullanır.</w:t>
              <w:br/>
              <w:t>c) Öğrendiği yeni internet teknolojilerini verimlilik kapsamında değerlendirir.</w:t>
              <w:br/>
              <w:t>a) Farklı ve eş zamanlı iletişim sürecinde kullanılan bileşenleri belirler.</w:t>
              <w:br/>
              <w:t>b) İletişim araçlarını türlerine göre ilişkilendirir.</w:t>
              <w:br/>
              <w:t>c) İletişim süreci açısından kullanılan araçları gruplandırır.</w:t>
              <w:br/>
              <w:t>a) Farklı ve eş zamanlı olarak kullanılan iletişim teknolojilerini amacına uygun olarak belirler.</w:t>
              <w:br/>
              <w:t>b) Bir e-posta aracını amacına uygun olarak kullanır.</w:t>
              <w:br/>
              <w:t>c) İletişim araçlarını kullanım amaçlarına uygunluğu açısından değerlendirir.</w:t>
            </w:r>
            <w:r>
              <w:rPr>
                <w:rFonts w:ascii="Arial" w:hAnsi="Arial" w:eastAsia="Arial"/>
                <w:sz w:val="17"/>
              </w:rPr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Yöntem / Teknik</w:t>
            </w:r>
          </w:p>
        </w:tc>
        <w:tc>
          <w:tcPr>
            <w:tcW w:type="dxa" w:w="3969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  <w:sz w:val="16"/>
              </w:rPr>
              <w:t>soru-cevap, gösterip yaptırma, senaryo çözümleme, karşılaştırma, uygulamalı çalışma</w:t>
            </w:r>
            <w:r>
              <w:rPr>
                <w:rFonts w:ascii="Arial" w:hAnsi="Arial" w:eastAsia="Arial"/>
                <w:b w:val="0"/>
                <w:sz w:val="17"/>
              </w:rPr>
            </w:r>
          </w:p>
        </w:tc>
        <w:tc>
          <w:tcPr>
            <w:tcW w:type="dxa" w:w="13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Araç-Gereç / Materyal</w:t>
            </w:r>
          </w:p>
        </w:tc>
        <w:tc>
          <w:tcPr>
            <w:tcW w:type="dxa" w:w="3855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  <w:sz w:val="16"/>
              </w:rPr>
              <w:t>internet erişimli bilgisayar, tarayıcı/arama motoru, örnek sorgular, iletişim senaryosu kartları, demo/okul kontrollü e-posta ortamı</w:t>
            </w:r>
            <w:r>
              <w:rPr>
                <w:rFonts w:ascii="Arial" w:hAnsi="Arial" w:eastAsia="Arial"/>
                <w:b w:val="0"/>
                <w:sz w:val="17"/>
              </w:rPr>
            </w:r>
          </w:p>
        </w:tc>
      </w:tr>
    </w:tbl>
    <w:p>
      <w:pPr>
        <w:pStyle w:val="SectionHead"/>
        <w:jc w:val="left"/>
      </w:pPr>
      <w:r>
        <w:rPr>
          <w:color w:val="1F4E78"/>
        </w:rPr>
        <w:t>II. BÖLÜM: PROGRAMLAR ARASI BİLEŞENLER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7F8C8D"/>
          <w:left w:val="single" w:sz="5" w:color="7F8C8D"/>
          <w:bottom w:val="single" w:sz="5" w:color="7F8C8D"/>
          <w:right w:val="single" w:sz="5" w:color="7F8C8D"/>
          <w:insideH w:val="single" w:sz="5" w:color="7F8C8D"/>
          <w:insideV w:val="single" w:sz="5" w:color="7F8C8D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Sosyal-Duygusal Öğrenme Becerileri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  <w:sz w:val="16"/>
              </w:rPr>
              <w:t>SDB2.1. İletişim, SDB2.2. İş Birliği (tema düzeyindeki bileşenlerden bu haftanın etkinliklerinde öne çıkanlar)</w:t>
            </w:r>
            <w:r>
              <w:rPr>
                <w:rFonts w:ascii="Arial" w:hAnsi="Arial" w:eastAsia="Arial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Değerler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  <w:sz w:val="16"/>
              </w:rPr>
              <w:t>D6. Dürüstlük, D14. Saygı (tema düzeyindeki değerlerden bu haftada öne çıkanlar)</w:t>
            </w:r>
            <w:r>
              <w:rPr>
                <w:rFonts w:ascii="Arial" w:hAnsi="Arial" w:eastAsia="Arial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Okuryazarlık Becerileri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  <w:sz w:val="16"/>
              </w:rPr>
              <w:t>OB1. Bilgi Okuryazarlığı, OB2. Dijital Okuryazarlık (tema düzeyindeki okuryazarlıklardan bu haftada öne çıkanlar)</w:t>
            </w:r>
            <w:r>
              <w:rPr>
                <w:rFonts w:ascii="Arial" w:hAnsi="Arial" w:eastAsia="Arial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Beceriler Arası İlişkiler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  <w:sz w:val="16"/>
              </w:rPr>
              <w:t>KB2.5. Sınıflandırma, KB2.6. Bilgi Toplama, KB2.10. Çıkarım Yapma, KB2.17. Değerlendirme, KB3.3. Eleştirel Düşünme</w:t>
            </w:r>
            <w:r>
              <w:rPr>
                <w:rFonts w:ascii="Arial" w:hAnsi="Arial" w:eastAsia="Arial"/>
                <w:b w:val="0"/>
                <w:sz w:val="17"/>
              </w:rPr>
            </w:r>
          </w:p>
        </w:tc>
      </w:tr>
    </w:tbl>
    <w:p>
      <w:pPr>
        <w:pStyle w:val="SectionHead"/>
        <w:jc w:val="left"/>
      </w:pPr>
      <w:r>
        <w:rPr>
          <w:color w:val="1F4E78"/>
        </w:rPr>
        <w:t>III. BÖLÜM: ÖĞRENME-ÖĞRETME YAŞANTILARI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7F8C8D"/>
          <w:left w:val="single" w:sz="5" w:color="7F8C8D"/>
          <w:bottom w:val="single" w:sz="5" w:color="7F8C8D"/>
          <w:right w:val="single" w:sz="5" w:color="7F8C8D"/>
          <w:insideH w:val="single" w:sz="5" w:color="7F8C8D"/>
          <w:insideV w:val="single" w:sz="5" w:color="7F8C8D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1F4E78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/>
                <w:b/>
                <w:color w:val="FFFFFF"/>
                <w:sz w:val="17"/>
              </w:rPr>
              <w:t>Basamak / Özellik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1F4E78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/>
                <w:b/>
                <w:color w:val="FFFFFF"/>
                <w:sz w:val="17"/>
              </w:rPr>
              <w:t>Uygulama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Temel Kabuller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  <w:sz w:val="16"/>
              </w:rPr>
              <w:t>Öğrencilerin internet kavramına aşina olduğu, temel düzeyde internet kullanabildiği; arama motoru, web sayfası ve web tarayıcısı gibi kavramlarla daha önce karşılaştığı kabul edilir.</w:t>
            </w:r>
            <w:r>
              <w:rPr>
                <w:rFonts w:ascii="Arial" w:hAnsi="Arial" w:eastAsia="Arial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Ön Değerlendirme Süreci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  <w:sz w:val="16"/>
              </w:rPr>
              <w:t>İnternette araştırma yaparken kullanılan arama motorları, anahtar kelime tercihleri ve iletişim araçları hakkında kısa sorular sorulur. Öğrencilerin arama sonuçlarını ayırt etme, eş zamanlı/farklı zamanlı iletişimi tanıma ve e-posta kullanım deneyimleri gözlenir.</w:t>
            </w:r>
            <w:r>
              <w:rPr>
                <w:rFonts w:ascii="Arial" w:hAnsi="Arial" w:eastAsia="Arial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Köprü Kurma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  <w:sz w:val="16"/>
              </w:rPr>
              <w:t>Telefon, tablet ve bilgisayarların internete nasıl bağlandığı; mesajlaşma, görüntülü görüşme, e-posta ve web araması gibi günlük deneyimler dersin ağ ve iletişim kavramlarıyla ilişkilendirilir.</w:t>
            </w:r>
            <w:r>
              <w:rPr>
                <w:rFonts w:ascii="Arial" w:hAnsi="Arial" w:eastAsia="Arial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Öğrenme-Öğretme Uygulamaları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r>
              <w:rPr>
                <w:b/>
                <w:color w:val="1F4E79"/>
                <w:sz w:val="16"/>
              </w:rPr>
              <w:t>1. DERS SAATİ (40 dk) – BTY.6.3.1</w:t>
            </w:r>
          </w:p>
          <w:p>
            <w:r>
              <w:rPr>
                <w:b w:val="0"/>
                <w:sz w:val="16"/>
              </w:rPr>
              <w:t>0–8 dk | Arama görevi: Aynı araştırma sorusu için iki farklı arama motoru veya arama biçimi kullanılır. Sonuç sayısından çok sonuçların ilgisi ve kaynak niteliği incelenir.</w:t>
            </w:r>
          </w:p>
          <w:p>
            <w:r>
              <w:rPr>
                <w:b w:val="0"/>
                <w:sz w:val="16"/>
              </w:rPr>
              <w:t>8–20 dk | İleri düzey teknikler: site:, filetype:, tırnak içinde tam ifade ve tarih/dil filtreleri örneklerle uygulanır. Öğrenciler verilen hedefe en kısa sorgu dizisiyle ulaşmaya çalışır.</w:t>
            </w:r>
          </w:p>
          <w:p>
            <w:r>
              <w:rPr>
                <w:b w:val="0"/>
                <w:sz w:val="16"/>
              </w:rPr>
              <w:t>20–32 dk | Kaynak seçimi: Resmî kurum, eğitim kurumu, haber, kişisel blog gibi sonuçlar karşılaştırılır; güncellik, yazarlık ve amaç açısından uygun kaynak seçilir.</w:t>
            </w:r>
          </w:p>
          <w:p>
            <w:r>
              <w:rPr>
                <w:b w:val="0"/>
                <w:sz w:val="16"/>
              </w:rPr>
              <w:t>32–40 dk | Öz değerlendirme: Öğrenci kullandığı arama stratejisinin hangi durumda daha verimli olduğunu yazar.</w:t>
            </w:r>
          </w:p>
          <w:p>
            <w:r>
              <w:rPr>
                <w:b/>
                <w:color w:val="1F4E79"/>
                <w:sz w:val="16"/>
              </w:rPr>
              <w:t>2. DERS SAATİ (40 dk) – BTY.6.3.2</w:t>
            </w:r>
          </w:p>
          <w:p>
            <w:r>
              <w:rPr>
                <w:b w:val="0"/>
                <w:sz w:val="16"/>
              </w:rPr>
              <w:t>0–8 dk | İletişim süreci: Gönderen–mesaj–kanal–alıcı–geri bildirim–gürültü bileşenleri günlük bir mesajlaşma örneği üzerinde belirlenir.</w:t>
            </w:r>
          </w:p>
          <w:p>
            <w:r>
              <w:rPr>
                <w:b w:val="0"/>
                <w:sz w:val="16"/>
              </w:rPr>
              <w:t>8–20 dk | Eş zamanlı/farklı zamanlı: Telefon görüşmesi, görüntülü toplantı, e-posta, forum, mesajlaşma ve okul platformu kartları özelliklerine göre sınıflandırılır.</w:t>
            </w:r>
          </w:p>
          <w:p>
            <w:r>
              <w:rPr>
                <w:b w:val="0"/>
                <w:sz w:val="16"/>
              </w:rPr>
              <w:t>20–32 dk | Amaç–araç eşleştirme: Acil durum, proje dosyası gönderme, grup toplantısı, öğretmene soru sorma gibi senaryolara en uygun iletişim teknolojisi seçilir ve gerekçelendirilir.</w:t>
            </w:r>
          </w:p>
          <w:p>
            <w:r>
              <w:rPr>
                <w:b w:val="0"/>
                <w:sz w:val="16"/>
              </w:rPr>
              <w:t>32–40 dk | Çıkış bileti: Verilen bir iletişim aracını türüne göre sınıflandırır ve iletişim sürecindeki iki bileşeni açıklar.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Farklılaştırma – Destekleme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  <w:sz w:val="16"/>
              </w:rPr>
              <w:t>Kavram kartları, görsel örnekler, hazır kategori başlıkları ve kısa yönergeler kullanılır; gerektiğinde daha az sayıda örnekle çalışma ve akran desteği sunulur.</w:t>
            </w:r>
            <w:r>
              <w:rPr>
                <w:rFonts w:ascii="Arial" w:hAnsi="Arial" w:eastAsia="Arial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Farklılaştırma – Zenginleştirme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  <w:sz w:val="16"/>
              </w:rPr>
              <w:t>Öğrenciler ek örnek araştırabilir, kendi sınıflandırma/karşılaştırma ölçütünü geliştirebilir veya bulgularını kısa poster/sunumla gerekçelendirebilir.</w:t>
            </w:r>
            <w:r>
              <w:rPr>
                <w:rFonts w:ascii="Arial" w:hAnsi="Arial" w:eastAsia="Arial"/>
                <w:b w:val="0"/>
                <w:sz w:val="17"/>
              </w:rPr>
            </w:r>
          </w:p>
        </w:tc>
      </w:tr>
    </w:tbl>
    <w:p>
      <w:pPr>
        <w:pStyle w:val="SectionHead"/>
        <w:jc w:val="left"/>
      </w:pPr>
      <w:r>
        <w:rPr>
          <w:color w:val="1F4E78"/>
        </w:rPr>
        <w:t>IV. BÖLÜM: ÖLÇME VE DEĞERLENDİRME / ÖĞRENME KANITLARI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7F8C8D"/>
          <w:left w:val="single" w:sz="5" w:color="7F8C8D"/>
          <w:bottom w:val="single" w:sz="5" w:color="7F8C8D"/>
          <w:right w:val="single" w:sz="5" w:color="7F8C8D"/>
          <w:insideH w:val="single" w:sz="5" w:color="7F8C8D"/>
          <w:insideV w:val="single" w:sz="5" w:color="7F8C8D"/>
        </w:tblBorders>
      </w:tblPr>
      <w:tblGrid>
        <w:gridCol w:w="10546"/>
      </w:tblGrid>
      <w:tr>
        <w:trPr>
          <w:cantSplit/>
        </w:trPr>
        <w:tc>
          <w:tcPr>
            <w:tcW w:type="dxa" w:w="1099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  <w:sz w:val="16"/>
              </w:rPr>
              <w:t>Ön değerlendirme soruları ile başlangıç düzeyi belirlenir; ders içinde kavramları doğru kullanma, uygun araç/ölçüt seçme, gerekçe sunma ve uygulamayı gerçekleştirme gözlenir. Ders sonu çıkış bileti, kontrol listesi veya kısa ürün göreviyle öğrenme çıktısının süreç bileşenlerine yönelik kanıt toplanır. TYMM tema düzeyinde önerilen araçlar: öz değerlendirme formu, dereceli puanlama anahtarı, akran değerlendirme formu, gözlem formu ve kontrol listesi.</w:t>
            </w:r>
            <w:r>
              <w:rPr>
                <w:rFonts w:ascii="Arial" w:hAnsi="Arial" w:eastAsia="Arial"/>
                <w:b w:val="0"/>
                <w:sz w:val="17"/>
              </w:rPr>
            </w:r>
          </w:p>
        </w:tc>
      </w:tr>
    </w:tbl>
    <w:p>
      <w:pPr>
        <w:pStyle w:val="SectionHead"/>
        <w:jc w:val="left"/>
      </w:pPr>
      <w:r>
        <w:rPr>
          <w:color w:val="1F4E78"/>
        </w:rPr>
        <w:t>V. BÖLÜM: DERSİN DİĞER DERSLERLE İLİŞKİSİ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7F8C8D"/>
          <w:left w:val="single" w:sz="5" w:color="7F8C8D"/>
          <w:bottom w:val="single" w:sz="5" w:color="7F8C8D"/>
          <w:right w:val="single" w:sz="5" w:color="7F8C8D"/>
          <w:insideH w:val="single" w:sz="5" w:color="7F8C8D"/>
          <w:insideV w:val="single" w:sz="5" w:color="7F8C8D"/>
        </w:tblBorders>
      </w:tblPr>
      <w:tblGrid>
        <w:gridCol w:w="10546"/>
      </w:tblGrid>
      <w:tr>
        <w:trPr>
          <w:cantSplit/>
        </w:trPr>
        <w:tc>
          <w:tcPr>
            <w:tcW w:type="dxa" w:w="1099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  <w:sz w:val="16"/>
              </w:rPr>
              <w:t>—  (TYMM ilgili tema sayfasında disiplinler arası ilişki ayrıca belirtilmemiştir.)</w:t>
            </w:r>
            <w:r>
              <w:rPr>
                <w:rFonts w:ascii="Arial" w:hAnsi="Arial" w:eastAsia="Arial"/>
                <w:b w:val="0"/>
                <w:sz w:val="17"/>
              </w:rPr>
            </w:r>
          </w:p>
        </w:tc>
      </w:tr>
    </w:tbl>
    <w:p>
      <w:pPr>
        <w:pStyle w:val="SectionHead"/>
        <w:jc w:val="left"/>
      </w:pPr>
      <w:r>
        <w:rPr>
          <w:color w:val="1F4E78"/>
        </w:rPr>
        <w:t>VI. BÖLÜM: PLANIN UYGULANMASIYLA İLGİLİ DİĞER AÇIKLAMALAR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7F8C8D"/>
          <w:left w:val="single" w:sz="5" w:color="7F8C8D"/>
          <w:bottom w:val="single" w:sz="5" w:color="7F8C8D"/>
          <w:right w:val="single" w:sz="5" w:color="7F8C8D"/>
          <w:insideH w:val="single" w:sz="5" w:color="7F8C8D"/>
          <w:insideV w:val="single" w:sz="5" w:color="7F8C8D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Uygulama Notları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  <w:sz w:val="16"/>
              </w:rPr>
              <w:t>Plan, TYMM 6. sınıf Bilişim Teknolojileri ve Yazılım Dersi öğretim programındaki öğrenme çıktısı ve uygulama yaklaşımı temel alınarak haftalık ders süresine uyarlanmıştır.</w:t>
            </w:r>
            <w:r>
              <w:rPr>
                <w:rFonts w:ascii="Arial" w:hAnsi="Arial" w:eastAsia="Arial"/>
                <w:b w:val="0"/>
                <w:sz w:val="17"/>
              </w:rPr>
            </w:r>
          </w:p>
        </w:tc>
      </w:tr>
    </w:tbl>
    <w:p>
      <w:pPr>
        <w:spacing w:before="100" w:after="0"/>
        <w:jc w:val="center"/>
      </w:pPr>
      <w:r>
        <w:rPr>
          <w:rFonts w:ascii="Arial" w:hAnsi="Arial"/>
          <w:b/>
          <w:sz w:val="18"/>
        </w:rPr>
        <w:t>Uygundur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73"/>
        <w:gridCol w:w="5273"/>
      </w:tblGrid>
      <w:tr>
        <w:trPr>
          <w:cantSplit/>
        </w:trPr>
        <w:tc>
          <w:tcPr>
            <w:tcW w:type="dxa" w:w="5499"/>
            <w:tcMar>
              <w:top w:w="40" w:type="dxa"/>
              <w:start w:w="40" w:type="dxa"/>
              <w:bottom w:w="40" w:type="dxa"/>
              <w:end w:w="4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/>
                <w:b/>
                <w:sz w:val="17"/>
              </w:rPr>
              <w:t>Bilgisayar ve Öğretim Teknolojileri Öğretmeni</w:t>
            </w:r>
          </w:p>
        </w:tc>
        <w:tc>
          <w:tcPr>
            <w:tcW w:type="dxa" w:w="5499"/>
            <w:tcMar>
              <w:top w:w="40" w:type="dxa"/>
              <w:start w:w="40" w:type="dxa"/>
              <w:bottom w:w="40" w:type="dxa"/>
              <w:end w:w="4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/>
                <w:b/>
                <w:sz w:val="17"/>
              </w:rPr>
              <w:t>Okul Müdürü</w:t>
            </w:r>
          </w:p>
        </w:tc>
      </w:tr>
      <w:tr>
        <w:trPr>
          <w:cantSplit/>
        </w:trPr>
        <w:tc>
          <w:tcPr>
            <w:tcW w:type="dxa" w:w="5499"/>
            <w:tcMar>
              <w:top w:w="40" w:type="dxa"/>
              <w:start w:w="40" w:type="dxa"/>
              <w:bottom w:w="40" w:type="dxa"/>
              <w:end w:w="4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Ad Soyad / İmza</w:t>
            </w:r>
          </w:p>
        </w:tc>
        <w:tc>
          <w:tcPr>
            <w:tcW w:type="dxa" w:w="5499"/>
            <w:tcMar>
              <w:top w:w="40" w:type="dxa"/>
              <w:start w:w="40" w:type="dxa"/>
              <w:bottom w:w="40" w:type="dxa"/>
              <w:end w:w="4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Ad Soyad / İmza</w:t>
            </w:r>
          </w:p>
        </w:tc>
      </w:tr>
    </w:tbl>
    <w:sectPr w:rsidR="00FC693F" w:rsidRPr="0006063C" w:rsidSect="00034616">
      <w:pgSz w:w="11906" w:h="16838"/>
      <w:pgMar w:top="652" w:right="680" w:bottom="652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Arial" w:hAnsi="Arial" w:eastAsia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lanTitle">
    <w:name w:val="PlanTitle"/>
    <w:pPr>
      <w:spacing w:before="0" w:after="40"/>
    </w:pPr>
    <w:rPr>
      <w:rFonts w:ascii="Arial" w:hAnsi="Arial" w:eastAsia="Arial"/>
      <w:b/>
      <w:sz w:val="24"/>
    </w:rPr>
  </w:style>
  <w:style w:type="paragraph" w:customStyle="1" w:styleId="SectionHead">
    <w:name w:val="SectionHead"/>
    <w:pPr>
      <w:spacing w:before="60" w:after="40"/>
    </w:pPr>
    <w:rPr>
      <w:rFonts w:ascii="Arial" w:hAnsi="Arial" w:eastAsia="Arial"/>
      <w:b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 Sınıf BTY Günlük Ders Planı - 1. Hafta</dc:title>
  <dc:subject>2026-2027 / BTY.5.1.1</dc:subject>
  <dc:creator/>
  <cp:keywords/>
  <dc:description>TYMM 5. sınıf BTY öğretim programı ve 2026-2027 haftalık takvim verileri esas alınarak hazırlanmıştır.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