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sz w:val="20"/>
        </w:rPr>
        <w:t>2026-2027 EĞİTİM – ÖĞRETİM YILI ………………………………… ORTAOKULU</w:t>
      </w:r>
    </w:p>
    <w:p>
      <w:pPr>
        <w:spacing w:after="60"/>
        <w:jc w:val="center"/>
      </w:pPr>
      <w:r>
        <w:rPr>
          <w:rFonts w:ascii="Arial" w:hAnsi="Arial" w:eastAsia="Arial"/>
          <w:b/>
          <w:sz w:val="22"/>
        </w:rPr>
        <w:t>6. SINIF BİLİŞİM TEKNOLOJİLERİ VE YAZILIM DERSİ GÜNLÜK DERS PLANI</w:t>
      </w:r>
    </w:p>
    <w:p>
      <w:pPr>
        <w:pStyle w:val="SectionHead"/>
        <w:jc w:val="left"/>
      </w:pPr>
      <w:r>
        <w:rPr>
          <w:color w:val="1F4E78"/>
        </w:rPr>
        <w:t>I. BÖLÜM: DERS BİLGİSİ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2636"/>
        <w:gridCol w:w="2636"/>
        <w:gridCol w:w="2636"/>
        <w:gridCol w:w="2636"/>
      </w:tblGrid>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Dersin Adı</w:t>
            </w:r>
          </w:p>
        </w:tc>
        <w:tc>
          <w:tcPr>
            <w:tcW w:type="dxa" w:w="3969"/>
            <w:vAlign w:val="center"/>
            <w:tcMar>
              <w:top w:w="55" w:type="dxa"/>
              <w:start w:w="70" w:type="dxa"/>
              <w:bottom w:w="55" w:type="dxa"/>
              <w:end w:w="70" w:type="dxa"/>
            </w:tcMar>
          </w:tcPr>
          <w:p>
            <w:pPr>
              <w:spacing w:after="0" w:before="0" w:line="240" w:lineRule="auto"/>
            </w:pPr>
            <w:r>
              <w:rPr>
                <w:b w:val="0"/>
                <w:sz w:val="16"/>
              </w:rPr>
              <w:t>Bilişim Teknolojileri ve Yazılım</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Tarih / Hafta</w:t>
            </w:r>
          </w:p>
        </w:tc>
        <w:tc>
          <w:tcPr>
            <w:tcW w:type="dxa" w:w="3855"/>
            <w:vAlign w:val="center"/>
            <w:tcMar>
              <w:top w:w="55" w:type="dxa"/>
              <w:start w:w="70" w:type="dxa"/>
              <w:bottom w:w="55" w:type="dxa"/>
              <w:end w:w="70" w:type="dxa"/>
            </w:tcMar>
          </w:tcPr>
          <w:p>
            <w:pPr>
              <w:spacing w:after="0" w:before="0" w:line="240" w:lineRule="auto"/>
            </w:pPr>
            <w:r>
              <w:rPr>
                <w:b w:val="0"/>
                <w:sz w:val="16"/>
              </w:rPr>
              <w:t>11 Ocak - 15 Ocak 2027 / 17. Hafta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Sınıf</w:t>
            </w:r>
          </w:p>
        </w:tc>
        <w:tc>
          <w:tcPr>
            <w:tcW w:type="dxa" w:w="3969"/>
            <w:vAlign w:val="center"/>
            <w:tcMar>
              <w:top w:w="55" w:type="dxa"/>
              <w:start w:w="70" w:type="dxa"/>
              <w:bottom w:w="55" w:type="dxa"/>
              <w:end w:w="70" w:type="dxa"/>
            </w:tcMar>
          </w:tcPr>
          <w:p>
            <w:pPr>
              <w:spacing w:after="0" w:before="0" w:line="240" w:lineRule="auto"/>
            </w:pPr>
            <w:r>
              <w:rPr>
                <w:b w:val="0"/>
                <w:sz w:val="16"/>
              </w:rPr>
              <w:t>6. Sınıf</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Süre</w:t>
            </w:r>
          </w:p>
        </w:tc>
        <w:tc>
          <w:tcPr>
            <w:tcW w:type="dxa" w:w="3855"/>
            <w:vAlign w:val="center"/>
            <w:tcMar>
              <w:top w:w="55" w:type="dxa"/>
              <w:start w:w="70" w:type="dxa"/>
              <w:bottom w:w="55" w:type="dxa"/>
              <w:end w:w="70" w:type="dxa"/>
            </w:tcMar>
          </w:tcPr>
          <w:p>
            <w:pPr>
              <w:spacing w:after="0" w:before="0" w:line="240" w:lineRule="auto"/>
            </w:pPr>
            <w:r>
              <w:rPr>
                <w:b w:val="0"/>
                <w:sz w:val="16"/>
              </w:rPr>
              <w:t>1+1 (toplam 80 dakika)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Tema / Ünite</w:t>
            </w:r>
          </w:p>
        </w:tc>
        <w:tc>
          <w:tcPr>
            <w:tcW w:type="dxa" w:w="9185"/>
            <w:vAlign w:val="center"/>
            <w:gridSpan w:val="3"/>
            <w:tcMar>
              <w:top w:w="55" w:type="dxa"/>
              <w:start w:w="70" w:type="dxa"/>
              <w:bottom w:w="55" w:type="dxa"/>
              <w:end w:w="70" w:type="dxa"/>
            </w:tcMar>
          </w:tcPr>
          <w:p>
            <w:pPr>
              <w:spacing w:after="0" w:before="0" w:line="240" w:lineRule="auto"/>
            </w:pPr>
            <w:r>
              <w:rPr>
                <w:b w:val="0"/>
                <w:sz w:val="16"/>
              </w:rPr>
              <w:t>Yapay Zekâ</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İçerik Çerçevesi (Konu)</w:t>
            </w:r>
          </w:p>
        </w:tc>
        <w:tc>
          <w:tcPr>
            <w:tcW w:type="dxa" w:w="9185"/>
            <w:vAlign w:val="center"/>
            <w:gridSpan w:val="3"/>
            <w:tcMar>
              <w:top w:w="55" w:type="dxa"/>
              <w:start w:w="70" w:type="dxa"/>
              <w:bottom w:w="55" w:type="dxa"/>
              <w:end w:w="70" w:type="dxa"/>
            </w:tcMar>
          </w:tcPr>
          <w:p>
            <w:pPr>
              <w:spacing w:after="0" w:before="0" w:line="240" w:lineRule="auto"/>
            </w:pPr>
            <w:r>
              <w:rPr>
                <w:b w:val="0"/>
                <w:sz w:val="16"/>
              </w:rPr>
              <w:t>Yapay Zekâ Araçları Yapay Zekâ Araçları ile Model Geliştirme</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Alan Becerileri</w:t>
            </w:r>
          </w:p>
        </w:tc>
        <w:tc>
          <w:tcPr>
            <w:tcW w:type="dxa" w:w="9185"/>
            <w:vAlign w:val="center"/>
            <w:gridSpan w:val="3"/>
            <w:tcMar>
              <w:top w:w="55" w:type="dxa"/>
              <w:start w:w="70" w:type="dxa"/>
              <w:bottom w:w="55" w:type="dxa"/>
              <w:end w:w="70" w:type="dxa"/>
            </w:tcMar>
          </w:tcPr>
          <w:p>
            <w:pPr>
              <w:spacing w:after="0" w:before="0" w:line="240" w:lineRule="auto"/>
            </w:pPr>
            <w:r>
              <w:rPr>
                <w:b w:val="0"/>
                <w:sz w:val="16"/>
              </w:rPr>
              <w:t>BTYAB1. Bilişim Teknolojilerini Kullanma, BTYAB4. Dijital Ürün Geliştirme</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Kavramsal Beceriler</w:t>
            </w:r>
          </w:p>
        </w:tc>
        <w:tc>
          <w:tcPr>
            <w:tcW w:type="dxa" w:w="9185"/>
            <w:vAlign w:val="center"/>
            <w:gridSpan w:val="3"/>
            <w:tcMar>
              <w:top w:w="55" w:type="dxa"/>
              <w:start w:w="70" w:type="dxa"/>
              <w:bottom w:w="55" w:type="dxa"/>
              <w:end w:w="70" w:type="dxa"/>
            </w:tcMar>
          </w:tcPr>
          <w:p>
            <w:pPr>
              <w:spacing w:after="0" w:before="0" w:line="240" w:lineRule="auto"/>
            </w:pPr>
            <w:r>
              <w:rPr>
                <w:b w:val="0"/>
                <w:sz w:val="16"/>
              </w:rPr>
              <w:t>KB2.6. Bilgi Toplama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Eğilimler</w:t>
            </w:r>
          </w:p>
        </w:tc>
        <w:tc>
          <w:tcPr>
            <w:tcW w:type="dxa" w:w="9185"/>
            <w:vAlign w:val="center"/>
            <w:gridSpan w:val="3"/>
            <w:tcMar>
              <w:top w:w="55" w:type="dxa"/>
              <w:start w:w="70" w:type="dxa"/>
              <w:bottom w:w="55" w:type="dxa"/>
              <w:end w:w="70" w:type="dxa"/>
            </w:tcMar>
          </w:tcPr>
          <w:p>
            <w:pPr>
              <w:spacing w:after="0" w:before="0" w:line="240" w:lineRule="auto"/>
            </w:pPr>
            <w:r>
              <w:rPr>
                <w:b w:val="0"/>
                <w:sz w:val="16"/>
              </w:rPr>
              <w:t>E2.3. Girişkenlik, E3.4. Gerçeği Arama, E3.6. Analitiklik, E3.8. Soru Sorma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Anahtar Kavramlar</w:t>
            </w:r>
          </w:p>
        </w:tc>
        <w:tc>
          <w:tcPr>
            <w:tcW w:type="dxa" w:w="9185"/>
            <w:vAlign w:val="center"/>
            <w:gridSpan w:val="3"/>
            <w:tcMar>
              <w:top w:w="55" w:type="dxa"/>
              <w:start w:w="70" w:type="dxa"/>
              <w:bottom w:w="55" w:type="dxa"/>
              <w:end w:w="70" w:type="dxa"/>
            </w:tcMar>
          </w:tcPr>
          <w:p>
            <w:pPr>
              <w:spacing w:after="0" w:before="0" w:line="240" w:lineRule="auto"/>
            </w:pPr>
            <w:r>
              <w:rPr>
                <w:b w:val="0"/>
                <w:sz w:val="16"/>
              </w:rPr>
              <w:t>girdi, model geliştirme, yapay zekâ araçları, yapay zekâ teknolojileri</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 Çıktısı ve</w:t>
              <w:br/>
              <w:t>Süreç Bileşenleri</w:t>
            </w:r>
          </w:p>
        </w:tc>
        <w:tc>
          <w:tcPr>
            <w:tcW w:type="dxa" w:w="9185"/>
            <w:vAlign w:val="center"/>
            <w:gridSpan w:val="3"/>
            <w:tcMar>
              <w:top w:w="55" w:type="dxa"/>
              <w:start w:w="70" w:type="dxa"/>
              <w:bottom w:w="55" w:type="dxa"/>
              <w:end w:w="70" w:type="dxa"/>
            </w:tcMar>
          </w:tcPr>
          <w:p>
            <w:pPr>
              <w:spacing w:after="0" w:before="0" w:line="240" w:lineRule="auto"/>
            </w:pPr>
            <w:r>
              <w:rPr>
                <w:b w:val="0"/>
                <w:sz w:val="16"/>
              </w:rPr>
              <w:t>BTY.6.5.2. Yapay zekâ araç ve teknolojileri ile çalışabilme</w:t>
              <w:br/>
              <w:t>BTY.6.5.3. Yapay zekâ araç ve teknolojileri ile model geliştirebilme</w:t>
              <w:br/>
              <w:t>a) Kullanacağı yapay zekâ aracını amacına uygun olarak belirler.</w:t>
              <w:br/>
              <w:t>b) Belirlediği yapay zekâ aracını kullanır.</w:t>
              <w:br/>
              <w:t>c) Kullandığı yapay zekâ aracını uygunluk/verimlilik kapsamında değerlendirir.</w:t>
              <w:br/>
              <w:t>a) Yapay zekâ araç ve teknolojileri ile yapılacak olan modelde gerçek hayat problemini belirler.</w:t>
              <w:br/>
              <w:t>b) Problemin çözümü için bir model oluşturur.</w:t>
              <w:br/>
              <w:t>c) Yapay zekâ uygulamasında geliştirilen modeli uygular.</w:t>
              <w:br/>
              <w:t>ç) Yapay zekâ uygulamasındaki modelin süreç ve sonuçlarını değerlendirir.</w:t>
            </w:r>
            <w:r>
              <w:rPr>
                <w:rFonts w:ascii="Arial" w:hAnsi="Arial" w:eastAsia="Arial"/>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Yöntem / Teknik</w:t>
            </w:r>
          </w:p>
        </w:tc>
        <w:tc>
          <w:tcPr>
            <w:tcW w:type="dxa" w:w="3969"/>
            <w:vAlign w:val="center"/>
            <w:tcMar>
              <w:top w:w="55" w:type="dxa"/>
              <w:start w:w="70" w:type="dxa"/>
              <w:bottom w:w="55" w:type="dxa"/>
              <w:end w:w="70" w:type="dxa"/>
            </w:tcMar>
          </w:tcPr>
          <w:p>
            <w:pPr>
              <w:spacing w:after="0" w:before="0" w:line="240" w:lineRule="auto"/>
            </w:pPr>
            <w:r>
              <w:rPr>
                <w:b w:val="0"/>
                <w:sz w:val="16"/>
              </w:rPr>
              <w:t>sorgulama, problem temelli öğrenme, gösterip yaptırma, araştırma, akran değerlendirme</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Araç-Gereç / Materyal</w:t>
            </w:r>
          </w:p>
        </w:tc>
        <w:tc>
          <w:tcPr>
            <w:tcW w:type="dxa" w:w="3855"/>
            <w:vAlign w:val="center"/>
            <w:tcMar>
              <w:top w:w="55" w:type="dxa"/>
              <w:start w:w="70" w:type="dxa"/>
              <w:bottom w:w="55" w:type="dxa"/>
              <w:end w:w="70" w:type="dxa"/>
            </w:tcMar>
          </w:tcPr>
          <w:p>
            <w:pPr>
              <w:spacing w:after="0" w:before="0" w:line="240" w:lineRule="auto"/>
            </w:pPr>
            <w:r>
              <w:rPr>
                <w:b w:val="0"/>
                <w:sz w:val="16"/>
              </w:rPr>
              <w:t>bilgisayar, öğretmen kontrollü yapay zekâ aracı/örnek çıktılar, güvenilir kaynaklar, örnek veri/girdi kartları, kontrol listesi</w:t>
            </w:r>
            <w:r>
              <w:rPr>
                <w:rFonts w:ascii="Arial" w:hAnsi="Arial" w:eastAsia="Arial"/>
                <w:b w:val="0"/>
                <w:sz w:val="17"/>
              </w:rPr>
            </w:r>
          </w:p>
        </w:tc>
      </w:tr>
    </w:tbl>
    <w:p>
      <w:pPr>
        <w:pStyle w:val="SectionHead"/>
        <w:jc w:val="left"/>
      </w:pPr>
      <w:r>
        <w:rPr>
          <w:color w:val="1F4E78"/>
        </w:rPr>
        <w:t>II. BÖLÜM: PROGRAMLAR ARASI BİLEŞENLER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Sosyal-Duygusal Öğrenme Becerileri</w:t>
            </w:r>
          </w:p>
        </w:tc>
        <w:tc>
          <w:tcPr>
            <w:tcW w:type="dxa" w:w="8561"/>
            <w:vAlign w:val="center"/>
            <w:tcMar>
              <w:top w:w="55" w:type="dxa"/>
              <w:start w:w="70" w:type="dxa"/>
              <w:bottom w:w="55" w:type="dxa"/>
              <w:end w:w="70" w:type="dxa"/>
            </w:tcMar>
          </w:tcPr>
          <w:p>
            <w:pPr>
              <w:spacing w:after="0" w:before="0" w:line="240" w:lineRule="auto"/>
            </w:pPr>
            <w:r>
              <w:rPr>
                <w:b w:val="0"/>
                <w:sz w:val="16"/>
              </w:rPr>
              <w:t>SDB1.2. Öz Düzenleme, SDB1.3. Öz Yansıtma, SDB3.3. Sorumlu Karar Verme (tema düzeyindeki bileşenlerden bu haftanın etkinliklerinde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Değerler</w:t>
            </w:r>
          </w:p>
        </w:tc>
        <w:tc>
          <w:tcPr>
            <w:tcW w:type="dxa" w:w="8561"/>
            <w:vAlign w:val="center"/>
            <w:tcMar>
              <w:top w:w="55" w:type="dxa"/>
              <w:start w:w="70" w:type="dxa"/>
              <w:bottom w:w="55" w:type="dxa"/>
              <w:end w:w="70" w:type="dxa"/>
            </w:tcMar>
          </w:tcPr>
          <w:p>
            <w:pPr>
              <w:spacing w:after="0" w:before="0" w:line="240" w:lineRule="auto"/>
            </w:pPr>
            <w:r>
              <w:rPr>
                <w:b w:val="0"/>
                <w:sz w:val="16"/>
              </w:rPr>
              <w:t>D3. Çalışkanlık, D6. Dürüstlük (tema düzeyindeki değerlerden bu haftada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Okuryazarlık Becerileri</w:t>
            </w:r>
          </w:p>
        </w:tc>
        <w:tc>
          <w:tcPr>
            <w:tcW w:type="dxa" w:w="8561"/>
            <w:vAlign w:val="center"/>
            <w:tcMar>
              <w:top w:w="55" w:type="dxa"/>
              <w:start w:w="70" w:type="dxa"/>
              <w:bottom w:w="55" w:type="dxa"/>
              <w:end w:w="70" w:type="dxa"/>
            </w:tcMar>
          </w:tcPr>
          <w:p>
            <w:pPr>
              <w:spacing w:after="0" w:before="0" w:line="240" w:lineRule="auto"/>
            </w:pPr>
            <w:r>
              <w:rPr>
                <w:b w:val="0"/>
                <w:sz w:val="16"/>
              </w:rPr>
              <w:t>OB1. Bilgi Okuryazarlığı, OB2. Dijital Okuryazarlık (tema düzeyindeki okuryazarlıklardan bu haftada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Beceriler Arası İlişkiler</w:t>
            </w:r>
          </w:p>
        </w:tc>
        <w:tc>
          <w:tcPr>
            <w:tcW w:type="dxa" w:w="8561"/>
            <w:vAlign w:val="center"/>
            <w:tcMar>
              <w:top w:w="55" w:type="dxa"/>
              <w:start w:w="70" w:type="dxa"/>
              <w:bottom w:w="55" w:type="dxa"/>
              <w:end w:w="70" w:type="dxa"/>
            </w:tcMar>
          </w:tcPr>
          <w:p>
            <w:pPr>
              <w:spacing w:after="0" w:before="0" w:line="240" w:lineRule="auto"/>
            </w:pPr>
            <w:r>
              <w:rPr>
                <w:b w:val="0"/>
                <w:sz w:val="16"/>
              </w:rPr>
              <w:t>— (TYMM tema düzeyinde ayrıca belirtilmemiştir.)</w:t>
            </w:r>
            <w:r>
              <w:rPr>
                <w:rFonts w:ascii="Arial" w:hAnsi="Arial" w:eastAsia="Arial"/>
                <w:b w:val="0"/>
                <w:sz w:val="17"/>
              </w:rPr>
            </w:r>
          </w:p>
        </w:tc>
      </w:tr>
    </w:tbl>
    <w:p>
      <w:pPr>
        <w:pStyle w:val="SectionHead"/>
        <w:jc w:val="left"/>
      </w:pPr>
      <w:r>
        <w:rPr>
          <w:color w:val="1F4E78"/>
        </w:rPr>
        <w:t>III. BÖLÜM: ÖĞRENME-ÖĞRETME YAŞANTILARI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Basamak / Özellik</w:t>
            </w:r>
          </w:p>
        </w:tc>
        <w:tc>
          <w:tcPr>
            <w:tcW w:type="dxa" w:w="8561"/>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Uygulama</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Temel Kabuller</w:t>
            </w:r>
          </w:p>
        </w:tc>
        <w:tc>
          <w:tcPr>
            <w:tcW w:type="dxa" w:w="8561"/>
            <w:vAlign w:val="center"/>
            <w:tcMar>
              <w:top w:w="55" w:type="dxa"/>
              <w:start w:w="70" w:type="dxa"/>
              <w:bottom w:w="55" w:type="dxa"/>
              <w:end w:w="70" w:type="dxa"/>
            </w:tcMar>
          </w:tcPr>
          <w:p>
            <w:pPr>
              <w:spacing w:after="0" w:before="0" w:line="240" w:lineRule="auto"/>
            </w:pPr>
            <w:r>
              <w:rPr>
                <w:b w:val="0"/>
                <w:sz w:val="16"/>
              </w:rPr>
              <w:t>Öğrencilerin yapay zekânın temel tanımını ve bazı kullanım alanlarını bildikleri; bir dijital araca amaç doğrultusunda komut/girdi verme ve sonuçları gözlemleme deneyimlerinin bulunduğu kabul edilir.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Ön Değerlendirme Süreci</w:t>
            </w:r>
          </w:p>
        </w:tc>
        <w:tc>
          <w:tcPr>
            <w:tcW w:type="dxa" w:w="8561"/>
            <w:vAlign w:val="center"/>
            <w:tcMar>
              <w:top w:w="55" w:type="dxa"/>
              <w:start w:w="70" w:type="dxa"/>
              <w:bottom w:w="55" w:type="dxa"/>
              <w:end w:w="70" w:type="dxa"/>
            </w:tcMar>
          </w:tcPr>
          <w:p>
            <w:pPr>
              <w:spacing w:after="0" w:before="0" w:line="240" w:lineRule="auto"/>
            </w:pPr>
            <w:r>
              <w:rPr>
                <w:b w:val="0"/>
                <w:sz w:val="16"/>
              </w:rPr>
              <w:t>Yapay zekâ tanımı ve kullanım alanlarına ilişkin kısa açık uçlu sorular sorulur. Öğrencilerin girdi, veri, araç seçimi, sonuç doğrulama ve model kavramlarına yönelik ön bilgileri örnek senaryolar üzerinden gözlenir.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Köprü Kurma</w:t>
            </w:r>
          </w:p>
        </w:tc>
        <w:tc>
          <w:tcPr>
            <w:tcW w:type="dxa" w:w="8561"/>
            <w:vAlign w:val="center"/>
            <w:tcMar>
              <w:top w:w="55" w:type="dxa"/>
              <w:start w:w="70" w:type="dxa"/>
              <w:bottom w:w="55" w:type="dxa"/>
              <w:end w:w="70" w:type="dxa"/>
            </w:tcMar>
          </w:tcPr>
          <w:p>
            <w:pPr>
              <w:spacing w:after="0" w:before="0" w:line="240" w:lineRule="auto"/>
            </w:pPr>
            <w:r>
              <w:rPr>
                <w:b w:val="0"/>
                <w:sz w:val="16"/>
              </w:rPr>
              <w:t>İnsanların bir isteği doğru anlayabilmek için açık ve yeterli bilgiye ihtiyaç duyması ile yapay zekâ sistemlerinin uygun girdiye ihtiyaç duyması ilişkilendirilir; yüz tanıma ve sanal asistan gibi günlük örneklerde verinin nasıl kullanıldığı tartışılır.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Öğrenme-Öğretme Uygulamaları</w:t>
            </w:r>
          </w:p>
        </w:tc>
        <w:tc>
          <w:tcPr>
            <w:tcW w:type="dxa" w:w="8561"/>
            <w:vAlign w:val="center"/>
            <w:tcMar>
              <w:top w:w="55" w:type="dxa"/>
              <w:start w:w="70" w:type="dxa"/>
              <w:bottom w:w="55" w:type="dxa"/>
              <w:end w:w="70" w:type="dxa"/>
            </w:tcMar>
          </w:tcPr>
          <w:p>
            <w:r>
              <w:rPr>
                <w:b/>
                <w:color w:val="1F4E79"/>
                <w:sz w:val="16"/>
              </w:rPr>
              <w:t>1. DERS SAATİ (40 dk) – BTY.6.5.2’nin tamamlanması</w:t>
            </w:r>
          </w:p>
          <w:p>
            <w:r>
              <w:rPr>
                <w:b w:val="0"/>
                <w:sz w:val="16"/>
              </w:rPr>
              <w:t>0–8 dk | Önceki kullanımın analizi: Öğrenciler önceki yapay zekâ görevinde kullandıkları girdiyi ve çıktıyı yeniden inceler; hangi bölümün işe yaradığını belirler.</w:t>
            </w:r>
          </w:p>
          <w:p>
            <w:r>
              <w:rPr>
                <w:b w:val="0"/>
                <w:sz w:val="16"/>
              </w:rPr>
              <w:t>8–20 dk | Uygunluk karşılaştırması: Aynı görevin iki farklı araç türünde nasıl sonuçlanabileceği; hız, açıklanabilirlik, kullanım kolaylığı ve çıktı kalitesi açısından karşılaştırılır.</w:t>
            </w:r>
          </w:p>
          <w:p>
            <w:r>
              <w:rPr>
                <w:b w:val="0"/>
                <w:sz w:val="16"/>
              </w:rPr>
              <w:t>20–32 dk | İyileştirme döngüsü: Girdi–çıktı–değerlendirme–girdi revizyonu döngüsü bir kez daha uygulanır. Öğrenciler değişikliğin çıktıya etkisini kaydeder.</w:t>
            </w:r>
          </w:p>
          <w:p>
            <w:r>
              <w:rPr>
                <w:b w:val="0"/>
                <w:sz w:val="16"/>
              </w:rPr>
              <w:t>32–40 dk | Öz değerlendirme: Aracı amaca uygun seçme ve verimli kullanma becerisi kısa kontrol listesiyle değerlendirilir.</w:t>
            </w:r>
          </w:p>
          <w:p>
            <w:r>
              <w:rPr>
                <w:b/>
                <w:color w:val="1F4E79"/>
                <w:sz w:val="16"/>
              </w:rPr>
              <w:t>2. DERS SAATİ (40 dk) – BTY.6.5.3’e giriş</w:t>
            </w:r>
          </w:p>
          <w:p>
            <w:r>
              <w:rPr>
                <w:b w:val="0"/>
                <w:sz w:val="16"/>
              </w:rPr>
              <w:t>0–8 dk | Gerçek hayat problemi: Atık türlerini ayırt etme, bitki yaprağını sınıflandırma veya okul içinde nesne kategorileştirme gibi basit ve güvenli problemler tartışılır.</w:t>
            </w:r>
          </w:p>
          <w:p>
            <w:r>
              <w:rPr>
                <w:b w:val="0"/>
                <w:sz w:val="16"/>
              </w:rPr>
              <w:t>8–18 dk | Model mantığı: Problem, girdi örnekleri, sınıflar/etiketler ve beklenen çıktı arasındaki ilişki açıklanır. “Model her örneği görmeden nasıl genelleme yapar?” sorusu sorulur.</w:t>
            </w:r>
          </w:p>
          <w:p>
            <w:r>
              <w:rPr>
                <w:b w:val="0"/>
                <w:sz w:val="16"/>
              </w:rPr>
              <w:t>18–32 dk | Model planı: Gruplar bir problem seçer; sınıfları, gerekli örnekleri, veri çeşitliliğini ve başarı ölçütünü belirler. Kişisel veri gerektiren problemler elenir.</w:t>
            </w:r>
          </w:p>
          <w:p>
            <w:r>
              <w:rPr>
                <w:b w:val="0"/>
                <w:sz w:val="16"/>
              </w:rPr>
              <w:t>32–40 dk | Plan paylaşımı: Her grup problem–veri–model–ölçüt zincirini sunar ve akran sorularıyla planını netleştirir.</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Destekleme</w:t>
            </w:r>
          </w:p>
        </w:tc>
        <w:tc>
          <w:tcPr>
            <w:tcW w:type="dxa" w:w="8561"/>
            <w:vAlign w:val="center"/>
            <w:tcMar>
              <w:top w:w="55" w:type="dxa"/>
              <w:start w:w="70" w:type="dxa"/>
              <w:bottom w:w="55" w:type="dxa"/>
              <w:end w:w="70" w:type="dxa"/>
            </w:tcMar>
          </w:tcPr>
          <w:p>
            <w:pPr>
              <w:spacing w:after="0" w:before="0" w:line="240" w:lineRule="auto"/>
            </w:pPr>
            <w:r>
              <w:rPr>
                <w:b w:val="0"/>
                <w:sz w:val="16"/>
              </w:rPr>
              <w:t>Girdi–çıktı ilişkisi görsel şema ve örneklerle somutlaştırılır; araç kullanımında öğretmen kontrollü hazır senaryolar ve kişisel veri içermeyen örnek girdiler kullanılır.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Zenginleştirme</w:t>
            </w:r>
          </w:p>
        </w:tc>
        <w:tc>
          <w:tcPr>
            <w:tcW w:type="dxa" w:w="8561"/>
            <w:vAlign w:val="center"/>
            <w:tcMar>
              <w:top w:w="55" w:type="dxa"/>
              <w:start w:w="70" w:type="dxa"/>
              <w:bottom w:w="55" w:type="dxa"/>
              <w:end w:w="70" w:type="dxa"/>
            </w:tcMar>
          </w:tcPr>
          <w:p>
            <w:pPr>
              <w:spacing w:after="0" w:before="0" w:line="240" w:lineRule="auto"/>
            </w:pPr>
            <w:r>
              <w:rPr>
                <w:b w:val="0"/>
                <w:sz w:val="16"/>
              </w:rPr>
              <w:t>Öğrenciler aynı görevi farklı girdi biçimleriyle test edip çıktı kalitesini karşılaştırabilir; veri çeşitliliği, önyargı veya model hatası üzerine ek test tasarlayabilir.</w:t>
            </w:r>
            <w:r>
              <w:rPr>
                <w:rFonts w:ascii="Arial" w:hAnsi="Arial" w:eastAsia="Arial"/>
                <w:b w:val="0"/>
                <w:sz w:val="17"/>
              </w:rPr>
            </w:r>
          </w:p>
        </w:tc>
      </w:tr>
    </w:tbl>
    <w:p>
      <w:pPr>
        <w:pStyle w:val="SectionHead"/>
        <w:jc w:val="left"/>
      </w:pPr>
      <w:r>
        <w:rPr>
          <w:color w:val="1F4E78"/>
        </w:rPr>
        <w:t>IV. BÖLÜM: ÖLÇME VE DEĞERLENDİRME / ÖĞRENME KANITLARI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after="0" w:before="0" w:line="240" w:lineRule="auto"/>
            </w:pPr>
            <w:r>
              <w:rPr>
                <w:b w:val="0"/>
                <w:sz w:val="16"/>
              </w:rPr>
              <w:t>Ön değerlendirme soruları ile başlangıç düzeyi belirlenir; ders içinde kavramları doğru kullanma, uygun araç/ölçüt seçme, gerekçe sunma ve uygulamayı gerçekleştirme gözlenir. Ders sonu çıkış bileti, kontrol listesi veya kısa ürün göreviyle öğrenme çıktısının süreç bileşenlerine yönelik kanıt toplanır. TYMM tema düzeyinde önerilen araçlar: puanlama anahtarı, kontrol listesi, gözlem formu, akran değerlendirme formu, bilgi duvarı ve dereceleme ölçeği.</w:t>
            </w:r>
            <w:r>
              <w:rPr>
                <w:rFonts w:ascii="Arial" w:hAnsi="Arial" w:eastAsia="Arial"/>
                <w:b w:val="0"/>
                <w:sz w:val="17"/>
              </w:rPr>
            </w:r>
          </w:p>
        </w:tc>
      </w:tr>
    </w:tbl>
    <w:p>
      <w:pPr>
        <w:pStyle w:val="SectionHead"/>
        <w:jc w:val="left"/>
      </w:pPr>
      <w:r>
        <w:rPr>
          <w:color w:val="1F4E78"/>
        </w:rPr>
        <w:t>V. BÖLÜM: DERSİN DİĞER DERSLERLE İLİŞKİSİ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after="0" w:before="0" w:line="240" w:lineRule="auto"/>
            </w:pPr>
            <w:r>
              <w:rPr>
                <w:b w:val="0"/>
                <w:sz w:val="16"/>
              </w:rPr>
              <w:t>Görsel Sanatlar, Sosyal Bilgiler, Türkçe</w:t>
            </w:r>
            <w:r>
              <w:rPr>
                <w:rFonts w:ascii="Arial" w:hAnsi="Arial" w:eastAsia="Arial"/>
                <w:b w:val="0"/>
                <w:sz w:val="17"/>
              </w:rPr>
            </w:r>
          </w:p>
        </w:tc>
      </w:tr>
    </w:tbl>
    <w:p>
      <w:pPr>
        <w:pStyle w:val="SectionHead"/>
        <w:jc w:val="left"/>
      </w:pPr>
      <w:r>
        <w:rPr>
          <w:color w:val="1F4E78"/>
        </w:rPr>
        <w:t>VI. BÖLÜM: PLANIN UYGULANMASIYLA İLGİLİ DİĞER AÇIKLAMALAR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Uygulama Notları</w:t>
            </w:r>
          </w:p>
        </w:tc>
        <w:tc>
          <w:tcPr>
            <w:tcW w:type="dxa" w:w="8561"/>
            <w:vAlign w:val="center"/>
            <w:tcMar>
              <w:top w:w="55" w:type="dxa"/>
              <w:start w:w="70" w:type="dxa"/>
              <w:bottom w:w="55" w:type="dxa"/>
              <w:end w:w="70" w:type="dxa"/>
            </w:tcMar>
          </w:tcPr>
          <w:p>
            <w:pPr>
              <w:spacing w:after="0" w:before="0" w:line="240" w:lineRule="auto"/>
            </w:pPr>
            <w:r>
              <w:rPr>
                <w:b w:val="0"/>
                <w:sz w:val="16"/>
              </w:rPr>
              <w:t>Plan, TYMM 6. sınıf Bilişim Teknolojileri ve Yazılım Dersi öğretim programındaki öğrenme çıktısı ve uygulama yaklaşımı temel alınarak haftalık ders süresine uyarlanmıştır. Yapay zekâ araçlarında yaş koşulları, okul politikası ve kişisel veri güvenliği gözetilmeli; gerçek kişisel veri, biyometrik veri veya öğrenciye ait hassas içerik kullanılmamalıdır.</w:t>
            </w:r>
            <w:r>
              <w:rPr>
                <w:rFonts w:ascii="Arial" w:hAnsi="Arial" w:eastAsia="Arial"/>
                <w:b w:val="0"/>
                <w:sz w:val="17"/>
              </w:rPr>
            </w:r>
          </w:p>
        </w:tc>
      </w:tr>
    </w:tbl>
    <w:p>
      <w:pPr>
        <w:spacing w:before="100" w:after="0"/>
        <w:jc w:val="center"/>
      </w:pPr>
      <w:r>
        <w:rPr>
          <w:rFonts w:ascii="Arial" w:hAnsi="Arial"/>
          <w:b/>
          <w:sz w:val="18"/>
        </w:rPr>
        <w:t>Uygundur</w:t>
      </w:r>
    </w:p>
    <w:tbl>
      <w:tblPr>
        <w:tblW w:type="auto" w:w="0"/>
        <w:jc w:val="center"/>
        <w:tblLayout w:type="fixed"/>
        <w:tblLook w:firstColumn="1" w:firstRow="1" w:lastColumn="0" w:lastRow="0" w:noHBand="0" w:noVBand="1" w:val="04A0"/>
      </w:tblPr>
      <w:tblGrid>
        <w:gridCol w:w="5273"/>
        <w:gridCol w:w="5273"/>
      </w:tblGrid>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Bilgisayar ve Öğretim Teknolojileri Öğretmeni</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Okul Müdürü</w:t>
            </w:r>
          </w:p>
        </w:tc>
      </w:tr>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r>
    </w:tbl>
    <w:sectPr w:rsidR="00FC693F" w:rsidRPr="0006063C" w:rsidSect="00034616">
      <w:pgSz w:w="11906" w:h="16838"/>
      <w:pgMar w:top="652" w:right="680" w:bottom="652"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lanTitle">
    <w:name w:val="PlanTitle"/>
    <w:pPr>
      <w:spacing w:before="0" w:after="40"/>
    </w:pPr>
    <w:rPr>
      <w:rFonts w:ascii="Arial" w:hAnsi="Arial" w:eastAsia="Arial"/>
      <w:b/>
      <w:sz w:val="24"/>
    </w:rPr>
  </w:style>
  <w:style w:type="paragraph" w:customStyle="1" w:styleId="SectionHead">
    <w:name w:val="SectionHead"/>
    <w:pPr>
      <w:spacing w:before="60" w:after="40"/>
    </w:pPr>
    <w:rPr>
      <w:rFonts w:ascii="Arial" w:hAnsi="Arial" w:eastAsia="Arial"/>
      <w: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Sınıf BTY Günlük Ders Planı - 1. Hafta</dc:title>
  <dc:subject>2026-2027 / BTY.5.1.1</dc:subject>
  <dc:creator/>
  <cp:keywords/>
  <dc:description>TYMM 5. sınıf BTY öğretim programı ve 2026-2027 haftalık takvim verileri esas alınarak hazırlanmıştır.</dc:description>
  <cp:lastModifiedBy/>
  <cp:revision>1</cp:revision>
  <dcterms:created xsi:type="dcterms:W3CDTF">2013-12-23T23:15:00Z</dcterms:created>
  <dcterms:modified xsi:type="dcterms:W3CDTF">2013-12-23T23:15:00Z</dcterms:modified>
  <cp:category/>
</cp:coreProperties>
</file>